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普惠颐养”20007号开放式净值型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20007号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4.10%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2023年7月19日至2023年7月25日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2024年7月24日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2026年7月15日</w:t>
            </w:r>
            <w:r>
              <w:rPr>
                <w:rFonts w:hint="eastAsia" w:ascii="宋体" w:hAnsi="宋体" w:eastAsia="宋体" w:cs="Times New Roman"/>
                <w:color w:val="000000"/>
                <w:kern w:val="0"/>
                <w:sz w:val="18"/>
                <w:szCs w:val="18"/>
                <w:u w:val="single"/>
                <w:lang w:val="en-US" w:eastAsia="zh-Hans" w:bidi="ar-SA"/>
              </w:rPr>
              <w:t>至2026年7月21日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2026年7月22日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20007号开放式净值型银行理财计划风险揭示书》、《温州银行“金鹿理财-普惠颐养”20007号开放式净值型银行理财计划产品说明书》、《温州银行“金鹿理财-普惠颐养”20007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RjEGs81+Etbn094CjJ5hFY35CbE=" w:salt="Oo9ZXFCRwc8FqNccrtOD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400722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2023-07-14T09:03:55Z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