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温盈”20062号开放式净值型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20062号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2023年7月19日至2023年7月25日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2024年7月24日</w:t>
            </w:r>
            <w:r>
              <w:rPr>
                <w:rFonts w:hint="eastAsia" w:ascii="宋体" w:hAnsi="宋体" w:eastAsia="宋体" w:cs="Times New Roman"/>
                <w:color w:val="000000"/>
                <w:kern w:val="0"/>
                <w:sz w:val="18"/>
                <w:szCs w:val="18"/>
                <w:u w:val="single"/>
                <w:lang w:val="en-US" w:eastAsia="zh-Hans" w:bidi="ar-SA"/>
              </w:rPr>
              <w:t>至2024年7月30日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“金鹿理财-温盈”20062号开放式净值型银行理财计划风险揭示书》、《温州银行“金鹿理财-温盈”20062号开放式净值型银行理财计划产品说明书》、《温州银行“金鹿理财-温盈”20062号开放式净值型（第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1" w:cryptProviderType="rsaFull" w:cryptAlgorithmClass="hash" w:cryptAlgorithmType="typeAny" w:cryptAlgorithmSid="4" w:cryptSpinCount="0" w:hash="lugCD9YZHuPZbruLvFxMnRlnqMo=" w:salt="HqVT+jsxTz0CBxJKhL1iM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82E19BF"/>
    <w:rsid w:val="7DBFBC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2023-07-14T08:57:29Z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