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20004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20004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“金鹿理财-温盈”20004号开放式净值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20004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20004号开放式净值型银行理财计划产品说明书》、《温州银行“金鹿理财-温盈”20004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20004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温盈”20004号开放式净值型银行理财计划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20004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C1092220000050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2020年1月15日至2020年1月21日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本理财计划成立日为2020年1月22日。温州银行有权根据实际募集情况选择产品提前成立，若温州银行采取以上措施，温州银行将就产品相应要素的调整事宜于提前成立日前的一个工作日在温州银行网站予以公告。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《温州银行“金鹿理财-温盈”20004号开放式净值型（第i期）银行理财计划开放认购（申购）申请书》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《温州银行“金鹿理财-温盈”20004号开放式净值型（第i期）银行理财计划开放认购（申购）申请书》。投资运作周期到期时，该周期内的资金收益情况根据所投资资产组合的实际运作情况确定。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：本理财计划成立日为2020年1月22日，从成立日起，每</w:t>
      </w:r>
      <w:r>
        <w:rPr>
          <w:rFonts w:ascii="宋体" w:hAnsi="宋体"/>
          <w:sz w:val="18"/>
        </w:rPr>
        <w:t>【</w:t>
      </w:r>
      <w:r>
        <w:rPr>
          <w:rFonts w:hint="eastAsia" w:ascii="宋体" w:hAnsi="宋体"/>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本产品预计到期终止日为2030年1月22日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20004号开放式净值型银行理财计划风险揭示书》、《温州银行“金鹿理财”银行理财计划合约》、《温州银行“金鹿理财-温盈”20004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readOnly" w:enforcement="1" w:cryptProviderType="rsaFull" w:cryptAlgorithmClass="hash" w:cryptAlgorithmType="typeAny" w:cryptAlgorithmSid="4" w:cryptSpinCount="0" w:hash="JS9FJncQj5vhYYAEtjCjFTCRRIs=" w:salt="bsEhL44lwvpmh0EWb4J+2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2E7C7CA8"/>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2023-07-17T02:05:15Z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