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20062</w:t>
      </w:r>
      <w:r>
        <w:rPr>
          <w:rFonts w:hint="eastAsia" w:ascii="黑体" w:eastAsia="黑体"/>
          <w:sz w:val="30"/>
          <w:szCs w:val="30"/>
        </w:rPr>
        <w:t>号</w:t>
      </w:r>
      <w:bookmarkStart w:id="0" w:name="_GoBack"/>
      <w:bookmarkEnd w:id="0"/>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20062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“金鹿理财-温盈”20062号开放式净值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20062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20062号开放式净值型银行理财计划产品说明书》、《温州银行“金鹿理财-温盈”20062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20062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温盈”20062号开放式净值型银行理财计划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20062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2020年7月1日至2020年7月7日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本理财计划成立日为2020年7月8日。温州银行有权根据实际募集情况选择产品提前成立，若温州银行采取以上措施，温州银行将就产品相应要素的调整事宜于提前成立日前的一个工作日在温州银行网站予以公告。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《温州银行“金鹿理财-温盈”20062号开放式净值型（第i期）银行理财计划开放认购（申购）申请书》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《温州银行“金鹿理财-温盈”20062号开放式净值型（第i期）银行理财计划开放认购（申购）申请书》。投资运作周期到期时，该周期内的资金收益情况根据所投资资产组合的实际运作情况确定。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：本理财计划成立日为2020年7月8日，从成立日起，每</w:t>
      </w:r>
      <w:r>
        <w:rPr>
          <w:rFonts w:ascii="宋体" w:hAnsi="宋体"/>
          <w:sz w:val="18"/>
        </w:rPr>
        <w:t>【</w:t>
      </w:r>
      <w:r>
        <w:rPr>
          <w:rFonts w:hint="eastAsia" w:ascii="宋体" w:hAnsi="宋体"/>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本产品预计到期终止日为2030年7月8日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20062号开放式净值型银行理财计划风险揭示书》、《温州银行“金鹿理财”银行理财计划合约》、《温州银行“金鹿理财-温盈”20062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87zk5wOgmmlzbOgimwvI2mYyIC8=" w:salt="QbucWA0kUI4D+Vlhs97/8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9F36CA"/>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2023-07-17T02:10:55Z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