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19011号开放式净值型银行理财计划产品说明书》、《温州银行“金鹿理财-温盈”19011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2019年7月18日至2019年7月23日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：本理财计划成立日为2019年7月24日，从成立日起，每</w:t>
      </w:r>
      <w:r>
        <w:rPr>
          <w:rFonts w:ascii="宋体" w:hAnsi="宋体"/>
          <w:sz w:val="18"/>
        </w:rPr>
        <w:t>【</w:t>
      </w:r>
      <w:r>
        <w:rPr>
          <w:rFonts w:hint="eastAsia" w:ascii="宋体" w:hAnsi="宋体"/>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19011号开放式净值型银行理财计划风险揭示书》、《温州银行“金鹿理财”银行理财计划合约》、《温州银行“金鹿理财-温盈”19011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RvxyG2iwVmAeP/i0Z2r31yGAqo=" w:salt="N2RWCovUz8OkUavlAWox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F664BB9"/>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2023-07-31T02:00:52Z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