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普惠季享”11号开放式净值型</w:t>
      </w:r>
    </w:p>
    <w:p>
      <w:pPr>
        <w:spacing w:line="372" w:lineRule="auto"/>
        <w:jc w:val="center"/>
        <w:outlineLvl w:val="0"/>
        <w:rPr>
          <w:rFonts w:hint="eastAsia" w:ascii="黑体" w:hAnsi="Times New Roman" w:eastAsia="黑体"/>
          <w:sz w:val="30"/>
          <w:szCs w:val="30"/>
        </w:rPr>
      </w:pPr>
      <w:bookmarkStart w:id="0" w:name="_GoBack"/>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2023年8月1日至2023年8月7日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2023年10月31日</w:t>
            </w:r>
            <w:r>
              <w:rPr>
                <w:rFonts w:hint="eastAsia" w:ascii="宋体" w:hAnsi="宋体" w:eastAsia="宋体" w:cs="Times New Roman"/>
                <w:color w:val="000000"/>
                <w:kern w:val="0"/>
                <w:sz w:val="18"/>
                <w:szCs w:val="18"/>
                <w:u w:val="single"/>
                <w:lang w:val="en-US" w:eastAsia="zh-Hans" w:bidi="ar-SA"/>
              </w:rPr>
              <w:t>至2023年11月6日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“金鹿理财-普惠季享”11号开放式净值型银行理财计划风险揭示书》、《温州银行“金鹿理财-普惠季享”11号开放式净值型银行理财计划产品说明书》、《温州银行“金鹿理财-普惠季享”11号开放式净值型（第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ckKWjCsZTV5CFzXLSy2q3jzP6k=" w:salt="810hH7P4kOf+dksnPYxO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59875B7"/>
    <w:rsid w:val="37F846C9"/>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