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普惠颐养”21030号开放式净值型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21030号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4.05%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2023年8月4日至2023年8月10日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2024年8月14日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2025年8月6日</w:t>
            </w:r>
            <w:r>
              <w:rPr>
                <w:rFonts w:hint="eastAsia" w:ascii="宋体" w:hAnsi="宋体" w:eastAsia="宋体" w:cs="Times New Roman"/>
                <w:color w:val="000000"/>
                <w:kern w:val="0"/>
                <w:sz w:val="18"/>
                <w:szCs w:val="18"/>
                <w:u w:val="single"/>
                <w:lang w:val="en-US" w:eastAsia="zh-Hans" w:bidi="ar-SA"/>
              </w:rPr>
              <w:t>至2025年8月12日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21030号开放式净值型银行理财计划风险揭示书》、《温州银行“金鹿理财-普惠颐养”21030号开放式净值型银行理财计划产品说明书》、《温州银行“金鹿理财-普惠颐养”21030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3r849QC8M3Tpa7ksP4mNdTZnCzg=" w:salt="oSBg53l0ic6mRw8Xh7AGE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2F12CB4"/>
    <w:rsid w:val="7F7EC3B3"/>
    <w:rsid w:val="BBDDF786"/>
    <w:rsid w:val="E7EC35E9"/>
    <w:rsid w:val="EAFE2858"/>
    <w:rsid w:val="FEDFC3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2023-07-31T01:33:36Z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