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19027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19027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“金鹿理财-温盈”19027号开放式净值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19027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19027号开放式净值型银行理财计划产品说明书》、《温州银行“金鹿理财-温盈”19027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19027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温盈”19027号开放式净值型银行理财计划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19027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C1092219000453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2019年10月10日至2019年10月15日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本理财计划成立日为2019年10月16日。温州银行有权根据实际募集情况选择产品提前成立，若温州银行采取以上措施，温州银行将就产品相应要素的调整事宜于提前成立日前的一个工作日在温州银行网站予以公告。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《温州银行“金鹿理财-温盈”19027号开放式净值型（第i期）银行理财计划开放认购（申购）申请书》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《温州银行“金鹿理财-温盈”19027号开放式净值型（第i期）银行理财计划开放认购（申购）申请书》。投资运作周期到期时，该周期内的资金收益情况根据所投资资产组合的实际运作情况确定。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：本理财计划成立日为2019年10月16日，从成立日起，每</w:t>
      </w:r>
      <w:r>
        <w:rPr>
          <w:rFonts w:ascii="宋体" w:hAnsi="宋体"/>
          <w:sz w:val="18"/>
        </w:rPr>
        <w:t>【</w:t>
      </w:r>
      <w:r>
        <w:rPr>
          <w:rFonts w:hint="eastAsia" w:ascii="宋体" w:hAnsi="宋体"/>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本产品预计到期终止日为2029年10月16日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19027号开放式净值型银行理财计划风险揭示书》、《温州银行“金鹿理财”银行理财计划合约》、《温州银行“金鹿理财-温盈”19027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readOnly" w:enforcement="1" w:cryptProviderType="rsaFull" w:cryptAlgorithmClass="hash" w:cryptAlgorithmType="typeAny" w:cryptAlgorithmSid="4" w:cryptSpinCount="0" w:hash="7bSGKmqzUTYZorOlCO+mj52YR44=" w:salt="JzAfkjUSFbt8WlmBa5iGp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49F78D7"/>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2023-08-04T03:16:23Z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