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2023年8月8日至2023年8月14日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2023年11月7日</w:t>
            </w:r>
            <w:r>
              <w:rPr>
                <w:rFonts w:hint="eastAsia" w:ascii="宋体" w:hAnsi="宋体" w:eastAsia="宋体" w:cs="Times New Roman"/>
                <w:color w:val="000000"/>
                <w:kern w:val="0"/>
                <w:sz w:val="18"/>
                <w:szCs w:val="18"/>
                <w:u w:val="single"/>
                <w:lang w:val="en-US" w:eastAsia="zh-Hans" w:bidi="ar-SA"/>
              </w:rPr>
              <w:t>至2023年11月13日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“金鹿理财-普惠季享”12号开放式净值型银行理财计划风险揭示书》、《温州银行“金鹿理财-普惠季享”12号开放式净值型银行理财计划产品说明书》、《温州银行“金鹿理财-普惠季享”12号开放式净值型（第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SAyzS4bvkIVBt+KaT9Ho3k/u2M=" w:salt="3oDHxkCQIEK6r8kFbzk1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E9B197D"/>
    <w:rsid w:val="712019C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2023-08-04T03:07:37Z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