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温盈”20013号开放式净值型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第8期182天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20013号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8</w:t>
            </w:r>
            <w:r>
              <w:rPr>
                <w:rFonts w:hint="eastAsia" w:ascii="宋体" w:hAnsi="宋体" w:eastAsia="宋体" w:cs="宋体"/>
                <w:color w:val="000000"/>
                <w:kern w:val="0"/>
                <w:sz w:val="18"/>
                <w:szCs w:val="18"/>
                <w:lang w:val="en-US" w:eastAsia="zh-CN" w:bidi="ar-SA"/>
              </w:rPr>
              <w:t>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3.0%-3.7%</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2023年8月9日至2023年8月15日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2023年8月16日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2024年2月7日</w:t>
            </w:r>
            <w:r>
              <w:rPr>
                <w:rFonts w:hint="eastAsia" w:ascii="宋体" w:hAnsi="宋体" w:eastAsia="宋体" w:cs="Times New Roman"/>
                <w:color w:val="000000"/>
                <w:kern w:val="0"/>
                <w:sz w:val="18"/>
                <w:szCs w:val="18"/>
                <w:u w:val="single"/>
                <w:lang w:val="en-US" w:eastAsia="zh-Hans" w:bidi="ar-SA"/>
              </w:rPr>
              <w:t>至2024年2月13日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2024年2月14日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“金鹿理财-温盈”20013号开放式净值型银行理财计划风险揭示书》、《温州银行“金鹿理财-温盈”20013号开放式净值型银行理财计划产品说明书》、《温州银行“金鹿理财-温盈”20013号开放式净值型（第</w:t>
            </w:r>
            <w:r>
              <w:rPr>
                <w:rFonts w:hint="eastAsia" w:ascii="宋体" w:hAnsi="宋体" w:eastAsia="宋体"/>
                <w:color w:val="000000"/>
                <w:sz w:val="18"/>
                <w:szCs w:val="20"/>
                <w:lang w:val="en-US" w:eastAsia="zh-Hans"/>
              </w:rPr>
              <w:t>8</w:t>
            </w:r>
            <w:r>
              <w:rPr>
                <w:rFonts w:hint="eastAsia" w:ascii="宋体" w:hAnsi="宋体" w:eastAsia="宋体"/>
                <w:color w:val="000000"/>
                <w:sz w:val="18"/>
                <w:szCs w:val="20"/>
              </w:rPr>
              <w:t>期182天）银行理财计划开放认购（申购）申请书》和《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bookmarkStart w:id="0" w:name="_GoBack"/>
      <w:bookmarkEnd w:id="0"/>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jkCIG8iNBAIGmca5Mwk8ot+Vbac=" w:salt="K2KYPeHUBrMjgJmjsatt2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2957EFC"/>
    <w:rsid w:val="3BEF0754"/>
    <w:rsid w:val="511E88BC"/>
    <w:rsid w:val="7D3F2D51"/>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2023-08-04T03:07:38Z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