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2023年8月22日至2023年8月28日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2023年11月21日</w:t>
            </w:r>
            <w:r>
              <w:rPr>
                <w:rFonts w:hint="eastAsia" w:ascii="宋体" w:hAnsi="宋体" w:eastAsia="宋体" w:cs="Times New Roman"/>
                <w:color w:val="000000"/>
                <w:kern w:val="0"/>
                <w:sz w:val="18"/>
                <w:szCs w:val="18"/>
                <w:u w:val="single"/>
                <w:lang w:val="en-US" w:eastAsia="zh-Hans" w:bidi="ar-SA"/>
              </w:rPr>
              <w:t>至2023年11月27日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“金鹿理财-普惠季享”1号开放式净值型银行理财计划风险揭示书》、《温州银行“金鹿理财-普惠季享”1号开放式净值型银行理财计划产品说明书》、《温州银行“金鹿理财-普惠季享”1号开放式净值型（第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OuA678ZpEzZBQf7gLKoS9w6eg4A=" w:salt="43DhZ7HLJOPhUb/Pz3MS4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B6F7ABF"/>
    <w:rsid w:val="511E88BC"/>
    <w:rsid w:val="7F7EC3B3"/>
    <w:rsid w:val="BBDDF786"/>
    <w:rsid w:val="E7EC35E9"/>
    <w:rsid w:val="EAFE2858"/>
    <w:rsid w:val="FAF776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2023-08-18T02:08:32Z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