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温盈”20019号开放式净值型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20019号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2023年8月23日至2023年8月29日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2024年2月21日</w:t>
            </w:r>
            <w:r>
              <w:rPr>
                <w:rFonts w:hint="eastAsia" w:ascii="宋体" w:hAnsi="宋体" w:eastAsia="宋体" w:cs="Times New Roman"/>
                <w:color w:val="000000"/>
                <w:kern w:val="0"/>
                <w:sz w:val="18"/>
                <w:szCs w:val="18"/>
                <w:u w:val="single"/>
                <w:lang w:val="en-US" w:eastAsia="zh-Hans" w:bidi="ar-SA"/>
              </w:rPr>
              <w:t>至2024年2月27日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2024年2月28日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“金鹿理财-温盈”20019号开放式净值型银行理财计划风险揭示书》、《温州银行“金鹿理财-温盈”20019号开放式净值型银行理财计划产品说明书》、《温州银行“金鹿理财-温盈”20019号开放式净值型（第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nCJyuMI/UYR7RlRszl3v5okktyY=" w:salt="lXeYb17ODNh9vAxuNkbue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63E5DD9"/>
    <w:rsid w:val="3BEF0754"/>
    <w:rsid w:val="511E88BC"/>
    <w:rsid w:val="7F7EC3B3"/>
    <w:rsid w:val="BBDDF786"/>
    <w:rsid w:val="BBFE4371"/>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2023-08-18T02:08:30Z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