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温盈”20064号开放式净值型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第4期371天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20064号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YJ2064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4</w:t>
            </w:r>
            <w:r>
              <w:rPr>
                <w:rFonts w:hint="eastAsia" w:ascii="宋体" w:hAnsi="宋体" w:eastAsia="宋体" w:cs="宋体"/>
                <w:color w:val="000000"/>
                <w:kern w:val="0"/>
                <w:sz w:val="18"/>
                <w:szCs w:val="18"/>
                <w:lang w:val="en-US" w:eastAsia="zh-CN" w:bidi="ar-SA"/>
              </w:rPr>
              <w:t>期371天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3.2%-3.9%</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2023年8月23日至2023年8月29日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2023年8月30日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2024年8月28日</w:t>
            </w:r>
            <w:r>
              <w:rPr>
                <w:rFonts w:hint="eastAsia" w:ascii="宋体" w:hAnsi="宋体" w:eastAsia="宋体" w:cs="Times New Roman"/>
                <w:color w:val="000000"/>
                <w:kern w:val="0"/>
                <w:sz w:val="18"/>
                <w:szCs w:val="18"/>
                <w:u w:val="single"/>
                <w:lang w:val="en-US" w:eastAsia="zh-Hans" w:bidi="ar-SA"/>
              </w:rPr>
              <w:t>至2024年9月3日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2024年9月4日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bookmarkStart w:id="0" w:name="_GoBack"/>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“金鹿理财-温盈”20064号开放式净值型银行理财计划风险揭示书》、《温州银行“金鹿理财-温盈”20064号开放式净值型银行理财计划产品说明书》、《温州银行“金鹿理财-温盈”20064号开放式净值型（第</w:t>
            </w:r>
            <w:r>
              <w:rPr>
                <w:rFonts w:hint="eastAsia" w:ascii="宋体" w:hAnsi="宋体" w:eastAsia="宋体"/>
                <w:color w:val="000000"/>
                <w:sz w:val="18"/>
                <w:szCs w:val="20"/>
                <w:lang w:val="en-US" w:eastAsia="zh-Hans"/>
              </w:rPr>
              <w:t>4</w:t>
            </w:r>
            <w:r>
              <w:rPr>
                <w:rFonts w:hint="eastAsia" w:ascii="宋体" w:hAnsi="宋体" w:eastAsia="宋体"/>
                <w:color w:val="000000"/>
                <w:sz w:val="18"/>
                <w:szCs w:val="20"/>
              </w:rPr>
              <w:t>期371天）银行理财计划开放认购（申购）申请书》和《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bookmarkEnd w:id="0"/>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P0Y8+OM7iFWwgCU4rFWvWxcV5w=" w:salt="jpNFFPZdbrbGbB3bLb6PO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432F71AD"/>
    <w:rsid w:val="511E88BC"/>
    <w:rsid w:val="7F7EC3B3"/>
    <w:rsid w:val="7FA312E8"/>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2</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2023-08-18T02:08:30Z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