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r>
        <w:rPr>
          <w:rFonts w:hint="eastAsia" w:ascii="黑体" w:eastAsia="黑体"/>
          <w:sz w:val="30"/>
          <w:szCs w:val="30"/>
          <w:highlight w:val="none"/>
        </w:rPr>
        <w:t>温州银行“金鹿理财-普惠季享”</w:t>
      </w:r>
      <w:r>
        <w:rPr>
          <w:rFonts w:hint="eastAsia" w:ascii="黑体" w:eastAsia="黑体"/>
          <w:color w:val="000000"/>
          <w:sz w:val="30"/>
          <w:szCs w:val="30"/>
          <w:highlight w:val="none"/>
          <w:u w:val="single"/>
          <w:lang w:eastAsia="zh-CN"/>
        </w:rPr>
        <w:t>23016</w:t>
      </w:r>
      <w:r>
        <w:rPr>
          <w:rFonts w:hint="eastAsia" w:ascii="黑体" w:eastAsia="黑体"/>
          <w:sz w:val="30"/>
          <w:szCs w:val="30"/>
          <w:highlight w:val="none"/>
        </w:rPr>
        <w:t>号（稳健低波款）银行理财计划风险揭示书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eastAsia"/>
          <w:color w:val="000000"/>
          <w:szCs w:val="21"/>
          <w:highlight w:val="none"/>
          <w:u w:val="single"/>
          <w:lang w:eastAsia="zh-CN"/>
        </w:rPr>
        <w:t>23016</w:t>
      </w:r>
      <w:r>
        <w:rPr>
          <w:rFonts w:hint="eastAsia"/>
          <w:szCs w:val="21"/>
          <w:highlight w:val="none"/>
        </w:rPr>
        <w:t>号（稳健低波款）银行理财计划，投资类型属于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szCs w:val="21"/>
          <w:highlight w:val="none"/>
          <w:u w:val="single"/>
        </w:rPr>
        <w:t xml:space="preserve"> 40</w:t>
      </w:r>
      <w:r>
        <w:rPr>
          <w:rFonts w:hint="eastAsia"/>
          <w:szCs w:val="21"/>
          <w:highlight w:val="none"/>
          <w:u w:val="single"/>
          <w:lang w:val="en-US" w:eastAsia="zh-CN"/>
        </w:rPr>
        <w:t>6</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eastAsia"/>
          <w:color w:val="000000"/>
          <w:szCs w:val="21"/>
          <w:highlight w:val="none"/>
          <w:u w:val="single"/>
          <w:lang w:eastAsia="zh-CN"/>
        </w:rPr>
        <w:t>23016</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color w:val="000000"/>
          <w:szCs w:val="21"/>
          <w:highlight w:val="none"/>
          <w:u w:val="single"/>
          <w:lang w:eastAsia="zh-CN"/>
        </w:rPr>
        <w:t>23016</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6"/>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eastAsia" w:ascii="黑体" w:eastAsia="黑体"/>
          <w:color w:val="000000"/>
          <w:sz w:val="30"/>
          <w:szCs w:val="30"/>
          <w:highlight w:val="none"/>
          <w:u w:val="single"/>
          <w:lang w:eastAsia="zh-CN"/>
        </w:rPr>
        <w:t>23016</w:t>
      </w:r>
      <w:r>
        <w:rPr>
          <w:rFonts w:hint="eastAsia" w:ascii="黑体" w:eastAsia="黑体"/>
          <w:bCs/>
          <w:sz w:val="30"/>
          <w:szCs w:val="30"/>
          <w:highlight w:val="none"/>
        </w:rPr>
        <w:t>号（稳健低波款）</w:t>
      </w: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eastAsia"/>
          <w:color w:val="000000"/>
          <w:sz w:val="18"/>
          <w:szCs w:val="18"/>
          <w:highlight w:val="none"/>
          <w:lang w:eastAsia="zh-CN"/>
        </w:rPr>
        <w:t>23016</w:t>
      </w:r>
      <w:r>
        <w:rPr>
          <w:rFonts w:hint="eastAsia"/>
          <w:sz w:val="18"/>
          <w:szCs w:val="18"/>
          <w:highlight w:val="none"/>
        </w:rPr>
        <w:t>号（稳健低波款）银行理财计划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1397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eastAsia"/>
                <w:color w:val="000000"/>
                <w:sz w:val="18"/>
                <w:szCs w:val="18"/>
                <w:highlight w:val="none"/>
                <w:u w:val="single"/>
                <w:lang w:eastAsia="zh-CN"/>
              </w:rPr>
              <w:t>23016</w:t>
            </w:r>
            <w:r>
              <w:rPr>
                <w:sz w:val="18"/>
                <w:szCs w:val="18"/>
                <w:highlight w:val="none"/>
              </w:rPr>
              <w:t>号</w:t>
            </w:r>
            <w:r>
              <w:rPr>
                <w:rFonts w:hint="eastAsia"/>
                <w:sz w:val="18"/>
                <w:szCs w:val="18"/>
                <w:highlight w:val="none"/>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eastAsia="宋体"/>
                <w:sz w:val="18"/>
                <w:szCs w:val="18"/>
                <w:highlight w:val="none"/>
                <w:lang w:eastAsia="zh-CN"/>
              </w:rPr>
            </w:pPr>
            <w:r>
              <w:rPr>
                <w:rFonts w:hint="eastAsia"/>
                <w:color w:val="000000"/>
                <w:sz w:val="18"/>
                <w:szCs w:val="18"/>
                <w:highlight w:val="none"/>
                <w:lang w:eastAsia="zh-CN"/>
              </w:rPr>
              <w:t>JW2316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eastAsia="宋体"/>
                <w:sz w:val="18"/>
                <w:szCs w:val="18"/>
                <w:highlight w:val="none"/>
                <w:lang w:eastAsia="zh-CN"/>
              </w:rPr>
            </w:pPr>
            <w:r>
              <w:rPr>
                <w:rFonts w:hint="eastAsia"/>
                <w:color w:val="000000"/>
                <w:sz w:val="18"/>
                <w:szCs w:val="18"/>
                <w:highlight w:val="none"/>
                <w:lang w:eastAsia="zh-CN"/>
              </w:rPr>
              <w:t>C1092223000022</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u w:val="single"/>
              </w:rPr>
              <w:t>40</w:t>
            </w:r>
            <w:r>
              <w:rPr>
                <w:rFonts w:hint="eastAsia"/>
                <w:sz w:val="18"/>
                <w:szCs w:val="18"/>
                <w:highlight w:val="none"/>
                <w:u w:val="single"/>
                <w:lang w:val="en-US" w:eastAsia="zh-CN"/>
              </w:rPr>
              <w:t>6</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eastAsia="宋体"/>
                <w:sz w:val="18"/>
                <w:szCs w:val="18"/>
                <w:highlight w:val="none"/>
                <w:u w:val="single"/>
                <w:lang w:eastAsia="zh-CN"/>
              </w:rPr>
            </w:pPr>
            <w:r>
              <w:rPr>
                <w:rFonts w:hint="eastAsia"/>
                <w:color w:val="000000"/>
                <w:sz w:val="18"/>
                <w:highlight w:val="none"/>
                <w:u w:val="single"/>
                <w:lang w:eastAsia="zh-CN"/>
              </w:rPr>
              <w:t>2023年8月22日</w:t>
            </w:r>
            <w:r>
              <w:rPr>
                <w:rFonts w:hint="eastAsia"/>
                <w:sz w:val="18"/>
                <w:highlight w:val="none"/>
                <w:u w:val="single"/>
              </w:rPr>
              <w:t>至</w:t>
            </w:r>
            <w:r>
              <w:rPr>
                <w:rFonts w:hint="eastAsia"/>
                <w:color w:val="000000"/>
                <w:sz w:val="18"/>
                <w:highlight w:val="none"/>
                <w:u w:val="single"/>
                <w:lang w:eastAsia="zh-CN"/>
              </w:rPr>
              <w:t>2023年8月28日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eastAsia="宋体"/>
                <w:sz w:val="18"/>
                <w:szCs w:val="18"/>
                <w:highlight w:val="none"/>
                <w:lang w:eastAsia="zh-CN"/>
              </w:rPr>
            </w:pPr>
            <w:r>
              <w:rPr>
                <w:rFonts w:hint="eastAsia"/>
                <w:color w:val="000000"/>
                <w:sz w:val="18"/>
                <w:highlight w:val="none"/>
                <w:u w:val="single"/>
                <w:lang w:eastAsia="zh-CN"/>
              </w:rPr>
              <w:t>2023年8月29日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eastAsia="宋体"/>
                <w:sz w:val="18"/>
                <w:szCs w:val="24"/>
                <w:highlight w:val="none"/>
                <w:u w:val="single"/>
                <w:lang w:eastAsia="zh-CN"/>
              </w:rPr>
            </w:pPr>
            <w:r>
              <w:rPr>
                <w:rFonts w:hint="eastAsia"/>
                <w:color w:val="000000"/>
                <w:sz w:val="18"/>
                <w:highlight w:val="none"/>
                <w:u w:val="single"/>
                <w:lang w:eastAsia="zh-CN"/>
              </w:rPr>
              <w:t>2024年10月8日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sz w:val="18"/>
                <w:szCs w:val="18"/>
                <w:highlight w:val="none"/>
              </w:rPr>
              <w:t>3.</w:t>
            </w:r>
            <w:r>
              <w:rPr>
                <w:rFonts w:hint="eastAsia"/>
                <w:sz w:val="18"/>
                <w:szCs w:val="18"/>
                <w:highlight w:val="none"/>
              </w:rPr>
              <w:t>6</w:t>
            </w:r>
            <w:r>
              <w:rPr>
                <w:sz w:val="18"/>
                <w:szCs w:val="18"/>
                <w:highlight w:val="none"/>
              </w:rPr>
              <w:t>%</w:t>
            </w:r>
            <w:r>
              <w:rPr>
                <w:rFonts w:hint="eastAsia"/>
                <w:sz w:val="18"/>
                <w:szCs w:val="18"/>
                <w:highlight w:val="none"/>
              </w:rPr>
              <w:t>（年化）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rFonts w:hint="eastAsia"/>
          <w:sz w:val="18"/>
          <w:szCs w:val="18"/>
          <w:highlight w:val="none"/>
        </w:rPr>
      </w:pPr>
      <w:r>
        <w:rPr>
          <w:rFonts w:hint="eastAsia"/>
          <w:sz w:val="18"/>
          <w:szCs w:val="18"/>
          <w:highlight w:val="none"/>
        </w:rPr>
        <w:t>本产品采用安全性和流动性优先、追求适度收益的投资策略。</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sz w:val="18"/>
          <w:szCs w:val="18"/>
          <w:highlight w:val="none"/>
        </w:rPr>
        <w:t>3.</w:t>
      </w:r>
      <w:r>
        <w:rPr>
          <w:rFonts w:hint="eastAsia"/>
          <w:sz w:val="18"/>
          <w:szCs w:val="18"/>
          <w:highlight w:val="none"/>
        </w:rPr>
        <w:t>6%（年化）。本产品业绩比较基准仅作为计提产品浮动管理费的依据，不构成温州银行对该理财产品的任何收益承诺。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eastAsia"/>
          <w:color w:val="000000"/>
          <w:sz w:val="18"/>
          <w:highlight w:val="none"/>
          <w:lang w:eastAsia="zh-CN"/>
        </w:rPr>
        <w:t>2023年8月22日</w:t>
      </w:r>
      <w:r>
        <w:rPr>
          <w:rFonts w:hint="eastAsia"/>
          <w:sz w:val="18"/>
          <w:highlight w:val="none"/>
        </w:rPr>
        <w:t>至</w:t>
      </w:r>
      <w:r>
        <w:rPr>
          <w:rFonts w:hint="eastAsia"/>
          <w:color w:val="000000"/>
          <w:sz w:val="18"/>
          <w:highlight w:val="none"/>
          <w:lang w:eastAsia="zh-CN"/>
        </w:rPr>
        <w:t>2023年8月28日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sz w:val="18"/>
          <w:highlight w:val="none"/>
        </w:rPr>
      </w:pPr>
      <w:r>
        <w:rPr>
          <w:rFonts w:hint="eastAsia"/>
          <w:sz w:val="18"/>
          <w:szCs w:val="18"/>
          <w:highlight w:val="none"/>
        </w:rPr>
        <w:t>本产品预计到期终止日为</w:t>
      </w:r>
      <w:r>
        <w:rPr>
          <w:rFonts w:hint="eastAsia"/>
          <w:color w:val="000000"/>
          <w:sz w:val="18"/>
          <w:highlight w:val="none"/>
          <w:lang w:eastAsia="zh-CN"/>
        </w:rPr>
        <w:t>2024年10月8日</w:t>
      </w:r>
      <w:r>
        <w:rPr>
          <w:rFonts w:hint="eastAsia"/>
          <w:sz w:val="18"/>
          <w:highlight w:val="none"/>
        </w:rPr>
        <w:t>，如发生下列情形之一的，温州银行有权但无义务终止理财计划：</w:t>
      </w:r>
    </w:p>
    <w:p>
      <w:pPr>
        <w:numPr>
          <w:ilvl w:val="0"/>
          <w:numId w:val="1"/>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（2）计算示例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以某客户投资100万元为例，购买时产品净值为1.00元，折算份额为1,000,000.00份,理财期限为40</w:t>
      </w:r>
      <w:r>
        <w:rPr>
          <w:rFonts w:hint="eastAsia"/>
          <w:sz w:val="18"/>
          <w:szCs w:val="18"/>
          <w:highlight w:val="none"/>
          <w:lang w:val="en-US" w:eastAsia="zh-CN"/>
        </w:rPr>
        <w:t>6</w:t>
      </w:r>
      <w:r>
        <w:rPr>
          <w:rFonts w:hint="eastAsia"/>
          <w:sz w:val="18"/>
          <w:szCs w:val="18"/>
          <w:highlight w:val="none"/>
        </w:rPr>
        <w:t>天。假设产品业绩比较基准为</w:t>
      </w:r>
      <w:r>
        <w:rPr>
          <w:sz w:val="18"/>
          <w:szCs w:val="18"/>
          <w:highlight w:val="none"/>
        </w:rPr>
        <w:t>3.</w:t>
      </w:r>
      <w:r>
        <w:rPr>
          <w:rFonts w:hint="eastAsia"/>
          <w:sz w:val="18"/>
          <w:szCs w:val="18"/>
          <w:highlight w:val="none"/>
        </w:rPr>
        <w:t>6%。到期时扣除托管费、销售服务费、固定管理费及其他费用（如有）后，如产品净值为1.04</w:t>
      </w:r>
      <w:r>
        <w:rPr>
          <w:rFonts w:hint="eastAsia"/>
          <w:sz w:val="18"/>
          <w:szCs w:val="18"/>
          <w:highlight w:val="none"/>
          <w:lang w:val="en-US" w:eastAsia="zh-CN"/>
        </w:rPr>
        <w:t>05</w:t>
      </w:r>
      <w:r>
        <w:rPr>
          <w:rFonts w:hint="eastAsia"/>
          <w:sz w:val="18"/>
          <w:szCs w:val="18"/>
          <w:highlight w:val="none"/>
        </w:rPr>
        <w:t>，此时， (1.04</w:t>
      </w:r>
      <w:r>
        <w:rPr>
          <w:rFonts w:hint="eastAsia"/>
          <w:sz w:val="18"/>
          <w:szCs w:val="18"/>
          <w:highlight w:val="none"/>
          <w:lang w:val="en-US" w:eastAsia="zh-CN"/>
        </w:rPr>
        <w:t>05</w:t>
      </w:r>
      <w:r>
        <w:rPr>
          <w:rFonts w:hint="eastAsia"/>
          <w:sz w:val="18"/>
          <w:szCs w:val="18"/>
          <w:highlight w:val="none"/>
        </w:rPr>
        <w:t>/1.00-1)×365/40</w:t>
      </w:r>
      <w:r>
        <w:rPr>
          <w:rFonts w:hint="eastAsia"/>
          <w:sz w:val="18"/>
          <w:szCs w:val="18"/>
          <w:highlight w:val="none"/>
          <w:lang w:val="en-US" w:eastAsia="zh-CN"/>
        </w:rPr>
        <w:t>6</w:t>
      </w:r>
      <w:r>
        <w:rPr>
          <w:rFonts w:hint="eastAsia"/>
          <w:sz w:val="18"/>
          <w:szCs w:val="18"/>
          <w:highlight w:val="none"/>
        </w:rPr>
        <w:t>=3.6</w:t>
      </w:r>
      <w:r>
        <w:rPr>
          <w:rFonts w:hint="eastAsia"/>
          <w:sz w:val="18"/>
          <w:szCs w:val="18"/>
          <w:highlight w:val="none"/>
          <w:lang w:val="en-US" w:eastAsia="zh-CN"/>
        </w:rPr>
        <w:t>4</w:t>
      </w:r>
      <w:r>
        <w:rPr>
          <w:rFonts w:hint="eastAsia"/>
          <w:sz w:val="18"/>
          <w:szCs w:val="18"/>
          <w:highlight w:val="none"/>
        </w:rPr>
        <w:t>%&gt;</w:t>
      </w:r>
      <w:r>
        <w:rPr>
          <w:sz w:val="18"/>
          <w:szCs w:val="18"/>
          <w:highlight w:val="none"/>
        </w:rPr>
        <w:t>3.</w:t>
      </w:r>
      <w:r>
        <w:rPr>
          <w:rFonts w:hint="eastAsia"/>
          <w:sz w:val="18"/>
          <w:szCs w:val="18"/>
          <w:highlight w:val="none"/>
        </w:rPr>
        <w:t>6%，即投资收益超越业绩比较基准，则投资管理人对超过业绩比较基准部分收益收取浮动管理费，浮动管理费为：1,000,000.00×[1.04</w:t>
      </w:r>
      <w:r>
        <w:rPr>
          <w:rFonts w:hint="eastAsia"/>
          <w:sz w:val="18"/>
          <w:szCs w:val="18"/>
          <w:highlight w:val="none"/>
          <w:lang w:val="en-US" w:eastAsia="zh-CN"/>
        </w:rPr>
        <w:t>05</w:t>
      </w:r>
      <w:r>
        <w:rPr>
          <w:rFonts w:hint="eastAsia"/>
          <w:sz w:val="18"/>
          <w:szCs w:val="18"/>
          <w:highlight w:val="none"/>
        </w:rPr>
        <w:t>-1.00×(1+</w:t>
      </w:r>
      <w:r>
        <w:rPr>
          <w:sz w:val="18"/>
          <w:szCs w:val="18"/>
          <w:highlight w:val="none"/>
        </w:rPr>
        <w:t>3.</w:t>
      </w:r>
      <w:r>
        <w:rPr>
          <w:rFonts w:hint="eastAsia"/>
          <w:sz w:val="18"/>
          <w:szCs w:val="18"/>
          <w:highlight w:val="none"/>
        </w:rPr>
        <w:t>6%×40</w:t>
      </w:r>
      <w:r>
        <w:rPr>
          <w:rFonts w:hint="eastAsia"/>
          <w:sz w:val="18"/>
          <w:szCs w:val="18"/>
          <w:highlight w:val="none"/>
          <w:lang w:val="en-US" w:eastAsia="zh-CN"/>
        </w:rPr>
        <w:t>6</w:t>
      </w:r>
      <w:r>
        <w:rPr>
          <w:rFonts w:hint="eastAsia"/>
          <w:sz w:val="18"/>
          <w:szCs w:val="18"/>
          <w:highlight w:val="none"/>
        </w:rPr>
        <w:t>/365)]×80%=</w:t>
      </w:r>
      <w:r>
        <w:rPr>
          <w:rFonts w:hint="eastAsia"/>
          <w:sz w:val="18"/>
          <w:szCs w:val="18"/>
          <w:highlight w:val="none"/>
          <w:lang w:val="en-US" w:eastAsia="zh-CN"/>
        </w:rPr>
        <w:t>364.93</w:t>
      </w:r>
      <w:r>
        <w:rPr>
          <w:rFonts w:hint="eastAsia"/>
          <w:sz w:val="18"/>
          <w:szCs w:val="18"/>
          <w:highlight w:val="none"/>
        </w:rPr>
        <w:t>（元）。扣除浮动管理费后，客户最终收益为：1,000,000.00×（1.04</w:t>
      </w:r>
      <w:r>
        <w:rPr>
          <w:rFonts w:hint="eastAsia"/>
          <w:sz w:val="18"/>
          <w:szCs w:val="18"/>
          <w:highlight w:val="none"/>
          <w:lang w:val="en-US" w:eastAsia="zh-CN"/>
        </w:rPr>
        <w:t>05</w:t>
      </w:r>
      <w:r>
        <w:rPr>
          <w:rFonts w:hint="eastAsia"/>
          <w:sz w:val="18"/>
          <w:szCs w:val="18"/>
          <w:highlight w:val="none"/>
        </w:rPr>
        <w:t>-1.00）-</w:t>
      </w:r>
      <w:r>
        <w:rPr>
          <w:rFonts w:hint="eastAsia"/>
          <w:sz w:val="18"/>
          <w:szCs w:val="18"/>
          <w:highlight w:val="none"/>
          <w:lang w:val="en-US" w:eastAsia="zh-CN"/>
        </w:rPr>
        <w:t>364.93</w:t>
      </w:r>
      <w:r>
        <w:rPr>
          <w:rFonts w:hint="eastAsia"/>
          <w:sz w:val="18"/>
          <w:szCs w:val="18"/>
          <w:highlight w:val="none"/>
        </w:rPr>
        <w:t>=</w:t>
      </w:r>
      <w:r>
        <w:rPr>
          <w:rFonts w:hint="eastAsia"/>
          <w:sz w:val="18"/>
          <w:szCs w:val="18"/>
          <w:highlight w:val="none"/>
          <w:lang w:val="en-US" w:eastAsia="zh-CN"/>
        </w:rPr>
        <w:t>40135.07</w:t>
      </w:r>
      <w:r>
        <w:rPr>
          <w:rFonts w:hint="eastAsia"/>
          <w:sz w:val="18"/>
          <w:szCs w:val="18"/>
          <w:highlight w:val="none"/>
        </w:rPr>
        <w:t>（元），产品到期时，客户获得的实际收益相当于达到年化收益率水平为：</w:t>
      </w:r>
      <w:r>
        <w:rPr>
          <w:rFonts w:hint="eastAsia"/>
          <w:sz w:val="18"/>
          <w:szCs w:val="18"/>
          <w:highlight w:val="none"/>
          <w:lang w:val="en-US" w:eastAsia="zh-CN"/>
        </w:rPr>
        <w:t>40135.07</w:t>
      </w:r>
      <w:r>
        <w:rPr>
          <w:rFonts w:hint="eastAsia"/>
          <w:sz w:val="18"/>
          <w:szCs w:val="18"/>
          <w:highlight w:val="none"/>
        </w:rPr>
        <w:t>/1,000,000.00×365/40</w:t>
      </w:r>
      <w:r>
        <w:rPr>
          <w:rFonts w:hint="eastAsia"/>
          <w:sz w:val="18"/>
          <w:szCs w:val="18"/>
          <w:highlight w:val="none"/>
          <w:lang w:val="en-US" w:eastAsia="zh-CN"/>
        </w:rPr>
        <w:t>6</w:t>
      </w:r>
      <w:r>
        <w:rPr>
          <w:rFonts w:hint="eastAsia"/>
          <w:sz w:val="18"/>
          <w:szCs w:val="18"/>
          <w:highlight w:val="none"/>
        </w:rPr>
        <w:t>=</w:t>
      </w:r>
      <w:r>
        <w:rPr>
          <w:sz w:val="18"/>
          <w:szCs w:val="18"/>
          <w:highlight w:val="none"/>
        </w:rPr>
        <w:t>3.</w:t>
      </w:r>
      <w:r>
        <w:rPr>
          <w:rFonts w:hint="eastAsia"/>
          <w:sz w:val="18"/>
          <w:szCs w:val="18"/>
          <w:highlight w:val="none"/>
        </w:rPr>
        <w:t>61%。</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以某客户投资100万元为例，购买时产品净值为1.00元，折算份额为1,000,000.00份,理财期限为40</w:t>
      </w:r>
      <w:r>
        <w:rPr>
          <w:rFonts w:hint="eastAsia"/>
          <w:sz w:val="18"/>
          <w:szCs w:val="18"/>
          <w:highlight w:val="none"/>
          <w:lang w:val="en-US" w:eastAsia="zh-CN"/>
        </w:rPr>
        <w:t>6</w:t>
      </w:r>
      <w:r>
        <w:rPr>
          <w:rFonts w:hint="eastAsia"/>
          <w:sz w:val="18"/>
          <w:szCs w:val="18"/>
          <w:highlight w:val="none"/>
        </w:rPr>
        <w:t>天。假设产品业绩比较基准为</w:t>
      </w:r>
      <w:r>
        <w:rPr>
          <w:sz w:val="18"/>
          <w:szCs w:val="18"/>
          <w:highlight w:val="none"/>
        </w:rPr>
        <w:t>3.</w:t>
      </w:r>
      <w:r>
        <w:rPr>
          <w:rFonts w:hint="eastAsia"/>
          <w:sz w:val="18"/>
          <w:szCs w:val="18"/>
          <w:highlight w:val="none"/>
        </w:rPr>
        <w:t>6%。到期时扣除托管费、销售服务费、固定管理费及其他费用（如有）后，如产品净值为1.039，此时，(1.039/1.00-1)×365/40</w:t>
      </w:r>
      <w:r>
        <w:rPr>
          <w:rFonts w:hint="eastAsia"/>
          <w:sz w:val="18"/>
          <w:szCs w:val="18"/>
          <w:highlight w:val="none"/>
          <w:lang w:val="en-US" w:eastAsia="zh-CN"/>
        </w:rPr>
        <w:t>6</w:t>
      </w:r>
      <w:r>
        <w:rPr>
          <w:rFonts w:hint="eastAsia"/>
          <w:sz w:val="18"/>
          <w:szCs w:val="18"/>
          <w:highlight w:val="none"/>
        </w:rPr>
        <w:t>=3.5</w:t>
      </w:r>
      <w:r>
        <w:rPr>
          <w:rFonts w:hint="eastAsia"/>
          <w:sz w:val="18"/>
          <w:szCs w:val="18"/>
          <w:highlight w:val="none"/>
          <w:lang w:val="en-US" w:eastAsia="zh-CN"/>
        </w:rPr>
        <w:t>1</w:t>
      </w:r>
      <w:r>
        <w:rPr>
          <w:rFonts w:hint="eastAsia"/>
          <w:sz w:val="18"/>
          <w:szCs w:val="18"/>
          <w:highlight w:val="none"/>
        </w:rPr>
        <w:t>%&lt;</w:t>
      </w:r>
      <w:r>
        <w:rPr>
          <w:sz w:val="18"/>
          <w:szCs w:val="18"/>
          <w:highlight w:val="none"/>
        </w:rPr>
        <w:t>3.</w:t>
      </w:r>
      <w:r>
        <w:rPr>
          <w:rFonts w:hint="eastAsia"/>
          <w:sz w:val="18"/>
          <w:szCs w:val="18"/>
          <w:highlight w:val="none"/>
        </w:rPr>
        <w:t>6%，即投资收益未达到业绩比较基准，则投资管理人不收取浮动管理费，客户最终收益为：1,000,000.00×(1.039-1.00）=39000（元）。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以某客户投资100万元为例，购买时产品净值为1.00元，折算份额为1,000,000.00份，理财期限为40</w:t>
      </w:r>
      <w:r>
        <w:rPr>
          <w:rFonts w:hint="eastAsia"/>
          <w:sz w:val="18"/>
          <w:szCs w:val="18"/>
          <w:highlight w:val="none"/>
          <w:lang w:val="en-US" w:eastAsia="zh-CN"/>
        </w:rPr>
        <w:t>6</w:t>
      </w:r>
      <w:r>
        <w:rPr>
          <w:rFonts w:hint="eastAsia"/>
          <w:sz w:val="18"/>
          <w:szCs w:val="18"/>
          <w:highlight w:val="none"/>
        </w:rPr>
        <w:t>天。假设产品业绩比较基准为3</w:t>
      </w:r>
      <w:r>
        <w:rPr>
          <w:sz w:val="18"/>
          <w:szCs w:val="18"/>
          <w:highlight w:val="none"/>
        </w:rPr>
        <w:t>.</w:t>
      </w:r>
      <w:r>
        <w:rPr>
          <w:rFonts w:hint="eastAsia"/>
          <w:sz w:val="18"/>
          <w:szCs w:val="18"/>
          <w:highlight w:val="none"/>
        </w:rPr>
        <w:t>6%，到期时扣除托管费、销售服务费、固定管理费及其他费用（如有）后，如产品净值为0.998，则投资管理人不收取浮动管理费，客户最终收益为：1,000,000.00×（0.998-1.00）=-2000.00（元）。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eastAsia"/>
          <w:color w:val="000000"/>
          <w:sz w:val="18"/>
          <w:szCs w:val="18"/>
          <w:highlight w:val="none"/>
          <w:lang w:eastAsia="zh-CN"/>
        </w:rPr>
        <w:t>23016</w:t>
      </w:r>
      <w:r>
        <w:rPr>
          <w:rFonts w:hint="eastAsia"/>
          <w:sz w:val="18"/>
          <w:szCs w:val="18"/>
          <w:highlight w:val="none"/>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bookmarkStart w:id="0" w:name="_GoBack"/>
      <w:bookmarkEnd w:id="0"/>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1" w:cryptProviderType="rsaFull" w:cryptAlgorithmClass="hash" w:cryptAlgorithmType="typeAny" w:cryptAlgorithmSid="4" w:cryptSpinCount="0" w:hash="ouwN+VGA/t1jtwJrb/sSvJ7lt+M=" w:salt="M+5RDaQXrtk1ZsQNslUPRQ=="/>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B26F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714A37"/>
    <w:rsid w:val="00737995"/>
    <w:rsid w:val="00757B1C"/>
    <w:rsid w:val="00766CF2"/>
    <w:rsid w:val="0078088F"/>
    <w:rsid w:val="007828DA"/>
    <w:rsid w:val="007918BA"/>
    <w:rsid w:val="00795498"/>
    <w:rsid w:val="007A7805"/>
    <w:rsid w:val="00832709"/>
    <w:rsid w:val="00836614"/>
    <w:rsid w:val="00866A5E"/>
    <w:rsid w:val="009115E2"/>
    <w:rsid w:val="009E3776"/>
    <w:rsid w:val="009E5DE6"/>
    <w:rsid w:val="00A529EE"/>
    <w:rsid w:val="00A95D28"/>
    <w:rsid w:val="00B02D36"/>
    <w:rsid w:val="00B032AE"/>
    <w:rsid w:val="00BB1978"/>
    <w:rsid w:val="00BB27A2"/>
    <w:rsid w:val="00BC2F8D"/>
    <w:rsid w:val="00BD36C8"/>
    <w:rsid w:val="00C237B9"/>
    <w:rsid w:val="00C34FBE"/>
    <w:rsid w:val="00CE5B75"/>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C64591"/>
    <w:rsid w:val="04752421"/>
    <w:rsid w:val="06F87141"/>
    <w:rsid w:val="07BB40C7"/>
    <w:rsid w:val="08EF38EC"/>
    <w:rsid w:val="09446D7E"/>
    <w:rsid w:val="098062CC"/>
    <w:rsid w:val="0A0F12B9"/>
    <w:rsid w:val="0A1675AA"/>
    <w:rsid w:val="0AC90772"/>
    <w:rsid w:val="104F44D5"/>
    <w:rsid w:val="10B17669"/>
    <w:rsid w:val="141472A9"/>
    <w:rsid w:val="14237D99"/>
    <w:rsid w:val="14F07B6A"/>
    <w:rsid w:val="17CF37DD"/>
    <w:rsid w:val="17FB0939"/>
    <w:rsid w:val="18377CAF"/>
    <w:rsid w:val="18AD336C"/>
    <w:rsid w:val="191D5323"/>
    <w:rsid w:val="19E25A8D"/>
    <w:rsid w:val="1A5F6148"/>
    <w:rsid w:val="1EBD7528"/>
    <w:rsid w:val="20297B89"/>
    <w:rsid w:val="20DB6550"/>
    <w:rsid w:val="22A04815"/>
    <w:rsid w:val="23535C37"/>
    <w:rsid w:val="26531D8B"/>
    <w:rsid w:val="275A751E"/>
    <w:rsid w:val="27BD2B01"/>
    <w:rsid w:val="27DE6CFF"/>
    <w:rsid w:val="28076A45"/>
    <w:rsid w:val="296645C3"/>
    <w:rsid w:val="2ACF0E36"/>
    <w:rsid w:val="2D1D2B95"/>
    <w:rsid w:val="2F7E1AF7"/>
    <w:rsid w:val="2F862BC5"/>
    <w:rsid w:val="313A7139"/>
    <w:rsid w:val="31AC46DA"/>
    <w:rsid w:val="3205368C"/>
    <w:rsid w:val="322778BD"/>
    <w:rsid w:val="32683389"/>
    <w:rsid w:val="3318043A"/>
    <w:rsid w:val="34B828A9"/>
    <w:rsid w:val="36C936FE"/>
    <w:rsid w:val="39766FF2"/>
    <w:rsid w:val="3A9532FB"/>
    <w:rsid w:val="3BBF210A"/>
    <w:rsid w:val="3C0741A4"/>
    <w:rsid w:val="3C4A0006"/>
    <w:rsid w:val="3D150741"/>
    <w:rsid w:val="3E2566A4"/>
    <w:rsid w:val="3F7E5351"/>
    <w:rsid w:val="3FBD214F"/>
    <w:rsid w:val="4146226E"/>
    <w:rsid w:val="43712A5A"/>
    <w:rsid w:val="4409550D"/>
    <w:rsid w:val="45CC7C27"/>
    <w:rsid w:val="462B298E"/>
    <w:rsid w:val="489032CB"/>
    <w:rsid w:val="4B4B6026"/>
    <w:rsid w:val="4EFE40C2"/>
    <w:rsid w:val="54133033"/>
    <w:rsid w:val="546F0E0A"/>
    <w:rsid w:val="56865A7D"/>
    <w:rsid w:val="56AB5155"/>
    <w:rsid w:val="57313966"/>
    <w:rsid w:val="58A26889"/>
    <w:rsid w:val="5A6C6059"/>
    <w:rsid w:val="5AC90CB7"/>
    <w:rsid w:val="5D0B2C53"/>
    <w:rsid w:val="5DD76B10"/>
    <w:rsid w:val="5E014390"/>
    <w:rsid w:val="5F4A6202"/>
    <w:rsid w:val="5FC22EC2"/>
    <w:rsid w:val="61E21802"/>
    <w:rsid w:val="623D1E92"/>
    <w:rsid w:val="627B657A"/>
    <w:rsid w:val="6522045B"/>
    <w:rsid w:val="67DC31E6"/>
    <w:rsid w:val="68785140"/>
    <w:rsid w:val="693E0188"/>
    <w:rsid w:val="699C4EA7"/>
    <w:rsid w:val="6D15771F"/>
    <w:rsid w:val="76592994"/>
    <w:rsid w:val="780A54E7"/>
    <w:rsid w:val="79632EC7"/>
    <w:rsid w:val="7AFF2EFC"/>
    <w:rsid w:val="7E4B18D2"/>
    <w:rsid w:val="7E5E7DE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1"/>
    <w:unhideWhenUsed/>
    <w:qFormat/>
    <w:uiPriority w:val="99"/>
    <w:pPr>
      <w:jc w:val="left"/>
    </w:pPr>
    <w:rPr>
      <w:rFonts w:ascii="Times New Roman" w:hAnsi="Times New Roman"/>
    </w:rPr>
  </w:style>
  <w:style w:type="paragraph" w:styleId="3">
    <w:name w:val="Plain Text"/>
    <w:basedOn w:val="1"/>
    <w:link w:val="10"/>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文字 字符"/>
    <w:link w:val="2"/>
    <w:qFormat/>
    <w:uiPriority w:val="99"/>
    <w:rPr>
      <w:rFonts w:ascii="Times New Roman" w:hAnsi="Times New Roman"/>
      <w:kern w:val="2"/>
      <w:sz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character" w:customStyle="1" w:styleId="14">
    <w:name w:val="批注框文本 字符"/>
    <w:link w:val="4"/>
    <w:semiHidden/>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1954</Words>
  <Characters>11138</Characters>
  <Lines>92</Lines>
  <Paragraphs>26</Paragraphs>
  <TotalTime>6</TotalTime>
  <ScaleCrop>false</ScaleCrop>
  <LinksUpToDate>false</LinksUpToDate>
  <CharactersWithSpaces>13066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2022-03-07T07:10:00Z</dcterms:created>
  <dc:creator>陈浩</dc:creator>
  <cp:lastModifiedBy>应心茹</cp:lastModifiedBy>
  <dcterms:modified xsi:type="dcterms:W3CDTF">2023-08-18T02:32:04Z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3A1FAC2DE5124AF5A0C0E167FA0706A0</vt:lpwstr>
  </property>
</Properties>
</file>