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普惠颐养”21034号开放式净值型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3.95%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2023年9月1日至2023年9月7日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2025年9月3日</w:t>
            </w:r>
            <w:r>
              <w:rPr>
                <w:rFonts w:hint="eastAsia" w:ascii="宋体" w:hAnsi="宋体" w:eastAsia="宋体" w:cs="Times New Roman"/>
                <w:color w:val="000000"/>
                <w:kern w:val="0"/>
                <w:sz w:val="18"/>
                <w:szCs w:val="18"/>
                <w:u w:val="single"/>
                <w:lang w:val="en-US" w:eastAsia="zh-Hans" w:bidi="ar-SA"/>
              </w:rPr>
              <w:t>至2025年9月9日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21034号开放式净值型银行理财计划风险揭示书》、《温州银行“金鹿理财-普惠颐养”21034号开放式净值型银行理财计划产品说明书》、《温州银行“金鹿理财-普惠颐养”21034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8L77ulL15og0GMFrPao9INVmAAM=" w:salt="XW+ZFWv7/Nmrz/0wnpS4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9736921"/>
    <w:rsid w:val="3BEF0754"/>
    <w:rsid w:val="511E88BC"/>
    <w:rsid w:val="7EFCE2B6"/>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2023-08-24T09:31:56Z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