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温盈”20063号开放式净值型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20063号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3.05%-3.75%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2023年8月30日至2023年9月5日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2024年6月5日</w:t>
            </w:r>
            <w:r>
              <w:rPr>
                <w:rFonts w:hint="eastAsia" w:ascii="宋体" w:hAnsi="宋体" w:eastAsia="宋体" w:cs="Times New Roman"/>
                <w:color w:val="000000"/>
                <w:kern w:val="0"/>
                <w:sz w:val="18"/>
                <w:szCs w:val="18"/>
                <w:u w:val="single"/>
                <w:lang w:val="en-US" w:eastAsia="zh-Hans" w:bidi="ar-SA"/>
              </w:rPr>
              <w:t>至2024年6月11日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2024年6月12日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“金鹿理财-温盈”20063号开放式净值型银行理财计划风险揭示书》、《温州银行“金鹿理财-温盈”20063号开放式净值型银行理财计划产品说明书》、《温州银行“金鹿理财-温盈”20063号开放式净值型（第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n4NtttY8KTTW969Byme3iRj9uqM=" w:salt="PKcsx6UOTk3KBOkf3zI8e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94F2FF3"/>
    <w:rsid w:val="7F7EC3B3"/>
    <w:rsid w:val="BBDDF786"/>
    <w:rsid w:val="E7EC35E9"/>
    <w:rsid w:val="EAFE2858"/>
    <w:rsid w:val="F7FABD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5</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2023-08-24T09:31:51Z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