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2023年9月5日至2023年9月11日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2023年12月5日</w:t>
            </w:r>
            <w:r>
              <w:rPr>
                <w:rFonts w:hint="eastAsia" w:ascii="宋体" w:hAnsi="宋体" w:eastAsia="宋体" w:cs="Times New Roman"/>
                <w:color w:val="000000"/>
                <w:kern w:val="0"/>
                <w:sz w:val="18"/>
                <w:szCs w:val="18"/>
                <w:u w:val="single"/>
                <w:lang w:val="en-US" w:eastAsia="zh-Hans" w:bidi="ar-SA"/>
              </w:rPr>
              <w:t>至2023年12月11日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“金鹿理财-普惠季享”3号开放式净值型银行理财计划风险揭示书》、《温州银行“金鹿理财-普惠季享”3号开放式净值型银行理财计划产品说明书》、《温州银行“金鹿理财-普惠季享”3号开放式净值型（第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Q7ynqWmZMXj/BFI/gBPmMPjcqk=" w:salt="7MZmOpAakUOfV033hUgl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80348D3"/>
    <w:rsid w:val="7B7BFBC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2023-09-01T07:11:00Z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