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温盈”20025号开放式净值型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20025号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2023年9月6日至2023年9月12日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2024年3月6日</w:t>
            </w:r>
            <w:r>
              <w:rPr>
                <w:rFonts w:hint="eastAsia" w:ascii="宋体" w:hAnsi="宋体" w:eastAsia="宋体" w:cs="Times New Roman"/>
                <w:color w:val="000000"/>
                <w:kern w:val="0"/>
                <w:sz w:val="18"/>
                <w:szCs w:val="18"/>
                <w:u w:val="single"/>
                <w:lang w:val="en-US" w:eastAsia="zh-Hans" w:bidi="ar-SA"/>
              </w:rPr>
              <w:t>至2024年3月12日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2024年3月13日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“金鹿理财-温盈”20025号开放式净值型银行理财计划风险揭示书》、《温州银行“金鹿理财-温盈”20025号开放式净值型银行理财计划产品说明书》、《温州银行“金鹿理财-温盈”20025号开放式净值型（第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8qwtY/gA0n/BEbtpuZ2AvVzmCd8=" w:salt="JvK4eiqWtY7O8gvWg1SY4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8FD43EE"/>
    <w:rsid w:val="77FFD09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2023-09-01T07:11:00Z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