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普惠颐养”20017号开放式净值型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20017号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3.95%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2023年9月13日至2023年9月19日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2023年9月20日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2024年9月18日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2025年9月17日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2026年9月9日</w:t>
            </w:r>
            <w:r>
              <w:rPr>
                <w:rFonts w:hint="eastAsia" w:ascii="宋体" w:hAnsi="宋体" w:eastAsia="宋体" w:cs="Times New Roman"/>
                <w:color w:val="000000"/>
                <w:kern w:val="0"/>
                <w:sz w:val="18"/>
                <w:szCs w:val="18"/>
                <w:u w:val="single"/>
                <w:lang w:val="en-US" w:eastAsia="zh-Hans" w:bidi="ar-SA"/>
              </w:rPr>
              <w:t>至2026年9月15日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2026年9月16日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20017号开放式净值型银行理财计划风险揭示书》、《温州银行“金鹿理财-普惠颐养”20017号开放式净值型银行理财计划产品说明书》、《温州银行“金鹿理财-普惠颐养”20017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期1092天）银行理财计划开放认购（申购）申请书》和《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pECcVReqJU37BjSndfjsfmRS98=" w:salt="OCTS+k18tRGf3ZgHh9FEQ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4CD7A8A"/>
    <w:rsid w:val="3BEF0754"/>
    <w:rsid w:val="511E88B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6</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2023-09-08T02:34:31Z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