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2023年9月13日至2023年9月19日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2024年6月19日</w:t>
            </w:r>
            <w:r>
              <w:rPr>
                <w:rFonts w:hint="eastAsia" w:ascii="宋体" w:hAnsi="宋体" w:eastAsia="宋体" w:cs="Times New Roman"/>
                <w:color w:val="000000"/>
                <w:kern w:val="0"/>
                <w:sz w:val="18"/>
                <w:szCs w:val="18"/>
                <w:u w:val="single"/>
                <w:lang w:val="en-US" w:eastAsia="zh-Hans" w:bidi="ar-SA"/>
              </w:rPr>
              <w:t>至2024年6月25日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“金鹿理财-温盈”19036号开放式净值型银行理财计划风险揭示书》、《温州银行“金鹿理财-温盈”19036号开放式净值型银行理财计划产品说明书》、《温州银行“金鹿理财-温盈”19036号开放式净值型（第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EQG23fCiETv9mFBPVWbJs3Krxj4=" w:salt="xShjJ8Tyoo+x3QColUbC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25171F8"/>
    <w:rsid w:val="7F7EC3B3"/>
    <w:rsid w:val="BBDDF786"/>
    <w:rsid w:val="E7EC35E9"/>
    <w:rsid w:val="EAFE2858"/>
    <w:rsid w:val="F3F727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2023-09-08T02:34:33Z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