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default" w:ascii="黑体" w:eastAsia="黑体"/>
          <w:color w:val="000000"/>
          <w:sz w:val="30"/>
          <w:szCs w:val="30"/>
          <w:u w:val="single"/>
        </w:rPr>
        <w:t>21036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default"/>
          <w:color w:val="000000"/>
          <w:szCs w:val="21"/>
          <w:u w:val="single"/>
        </w:rPr>
        <w:t>21036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default"/>
          <w:color w:val="000000"/>
          <w:szCs w:val="21"/>
        </w:rPr>
        <w:t>21036</w:t>
      </w:r>
      <w:r>
        <w:rPr>
          <w:rFonts w:hint="eastAsia"/>
          <w:szCs w:val="21"/>
        </w:rPr>
        <w:t>号开放式净值型（第i期）银行理财计划开放认购（申购）申请书》约定为准。根据温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default"/>
          <w:color w:val="000000"/>
          <w:szCs w:val="21"/>
        </w:rPr>
        <w:t>21036</w:t>
      </w:r>
      <w:r>
        <w:rPr>
          <w:rFonts w:hint="eastAsia" w:ascii="宋体" w:hAnsi="宋体"/>
          <w:szCs w:val="21"/>
        </w:rPr>
        <w:t>号开放式净值型银行理财计划产品说明书》所揭示事项仅为列举性质，未能详尽列明投资者参与理财计划所面临的全部风险和可能导致投</w:t>
      </w:r>
      <w:bookmarkStart w:id="0" w:name="_GoBack"/>
      <w:bookmarkEnd w:id="0"/>
      <w:r>
        <w:rPr>
          <w:rFonts w:hint="eastAsia" w:ascii="宋体" w:hAnsi="宋体"/>
          <w:szCs w:val="21"/>
        </w:rPr>
        <w:t>资者资产损失的所有因素。在您签约购买本理财产品前，应当仔细阅读本风险揭示书、《温州银行“金鹿理财”银行理财计划合约》、《温州银行“金鹿理财-普惠颐养”</w:t>
      </w:r>
      <w:r>
        <w:rPr>
          <w:rFonts w:hint="default"/>
          <w:color w:val="000000"/>
          <w:szCs w:val="21"/>
        </w:rPr>
        <w:t>21036</w:t>
      </w:r>
      <w:r>
        <w:rPr>
          <w:rFonts w:hint="eastAsia" w:ascii="宋体" w:hAnsi="宋体"/>
          <w:szCs w:val="21"/>
        </w:rPr>
        <w:t>号开放式净值型银行理财计划产品说明书》、《温州银行“金鹿理财-普惠颐养”</w:t>
      </w:r>
      <w:r>
        <w:rPr>
          <w:rFonts w:hint="default"/>
          <w:color w:val="000000"/>
          <w:szCs w:val="21"/>
        </w:rPr>
        <w:t>21036</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default" w:ascii="黑体" w:eastAsia="黑体"/>
          <w:color w:val="000000"/>
          <w:sz w:val="30"/>
          <w:szCs w:val="30"/>
          <w:u w:val="single"/>
        </w:rPr>
        <w:t>21036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default"/>
          <w:color w:val="000000"/>
          <w:sz w:val="18"/>
          <w:szCs w:val="18"/>
        </w:rPr>
        <w:t>21036</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default"/>
                <w:color w:val="000000"/>
                <w:sz w:val="18"/>
                <w:szCs w:val="18"/>
                <w:u w:val="single"/>
              </w:rPr>
              <w:t>21036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PY2136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C1092221000176</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2021年9月15日至2021年9月21日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本理财计划成立日为2021年9月22日。温州银行有权根据实际募集情况选择产品提前成立，若温州银行采取以上措施，温州银行将就产品相应要素的调整事宜于提前成立日前的一个工作日在温州银行网站予以公告。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default"/>
                <w:color w:val="000000"/>
                <w:sz w:val="18"/>
                <w:szCs w:val="18"/>
              </w:rPr>
              <w:t>21036</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color w:val="000000"/>
                <w:sz w:val="18"/>
                <w:szCs w:val="18"/>
              </w:rPr>
              <w:t>21036</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default"/>
          <w:color w:val="000000"/>
          <w:sz w:val="18"/>
          <w:szCs w:val="18"/>
        </w:rPr>
        <w:t>21036</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：本理财计划成立日为2021年9月22日，从成立日起，每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本产品预计到期终止日为2033年9月22日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ascii="宋体" w:hAnsi="宋体"/>
          <w:color w:val="000000"/>
          <w:sz w:val="18"/>
        </w:rPr>
        <w:t>21036</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4.45% ，该投资运作周期单位累计分红净额0.0445。投资运作周期到期清算时，扣除托管费、固定管理费后及其他费用（不含浮动管理费），如产品累计净值为1.0908，此时， (1.0908/1.00-1)×365/730= 4.54%&gt; 4.45%，即投资收益率超越业绩比较基准，则投资管理人对超过业绩比较基准部分收益收取浮动管理费，浮动管理费为： 100,000.00×[1.0908-1.00×(1+ 4.45%×730/365)]×50%=90（元）。扣除浮动管理费后，客户剩余理财收益为：100,000.00×（1.0908-1.00-0.0445）-90=4540（元），产品投资运作周期到期时，客户本周期获得的实际收益相当于达到年化收益率水平为：（4540+100,000.00×0.0445）/100,000.00×365/730=4.5%。</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4.45% ，该投资运作周期单位累计分红净额0.043。投资运作周期到期清算时，扣除托管费、固定管理费及其他费用（不含浮动管理费）后，如产品累计净值为1.0856，此时，(1.0856/1.00-1)×365/730=4.28%&lt;4.45%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default" w:ascii="宋体" w:hAnsi="宋体"/>
          <w:color w:val="000000"/>
          <w:sz w:val="18"/>
        </w:rPr>
        <w:t>21036</w:t>
      </w:r>
      <w:r>
        <w:rPr>
          <w:rFonts w:hint="eastAsia"/>
          <w:sz w:val="18"/>
          <w:szCs w:val="18"/>
        </w:rPr>
        <w:t>号开放式净值型银行理财计划风险揭示书》、《温州银行“金鹿理财”银行理财计划合约》、《温州银行“金鹿理财-普惠颐养”</w:t>
      </w:r>
      <w:r>
        <w:rPr>
          <w:rFonts w:hint="default" w:ascii="宋体" w:hAnsi="宋体"/>
          <w:color w:val="000000"/>
          <w:sz w:val="18"/>
        </w:rPr>
        <w:t>21036</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intriHHTJkMk7s3GJQ8hZguwwwc=" w:salt="xHDXCeZ0lNwLdhpkvoG//Q=="/>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6A3E"/>
    <w:rsid w:val="3C63252E"/>
    <w:rsid w:val="3D0C27BE"/>
    <w:rsid w:val="3D7B28E3"/>
    <w:rsid w:val="3E2C2488"/>
    <w:rsid w:val="3E6D6D33"/>
    <w:rsid w:val="4395092E"/>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625426F3"/>
    <w:rsid w:val="64102A57"/>
    <w:rsid w:val="64DB6186"/>
    <w:rsid w:val="65DC2C48"/>
    <w:rsid w:val="68696415"/>
    <w:rsid w:val="686B32F0"/>
    <w:rsid w:val="6C1D1256"/>
    <w:rsid w:val="6C592131"/>
    <w:rsid w:val="6CA75DD7"/>
    <w:rsid w:val="6CEB63D2"/>
    <w:rsid w:val="731C3643"/>
    <w:rsid w:val="7354733A"/>
    <w:rsid w:val="769C0D96"/>
    <w:rsid w:val="79A903BE"/>
    <w:rsid w:val="7A8D5E63"/>
    <w:rsid w:val="7C002445"/>
    <w:rsid w:val="7C1A5C70"/>
    <w:rsid w:val="7E2730F6"/>
    <w:rsid w:val="7EF472EA"/>
    <w:rsid w:val="7FEE272B"/>
    <w:rsid w:val="B4DDE0FF"/>
    <w:rsid w:val="DDE6B92A"/>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uiPriority w:val="0"/>
    <w:pPr>
      <w:jc w:val="left"/>
    </w:pPr>
  </w:style>
  <w:style w:type="paragraph" w:styleId="3">
    <w:name w:val="Balloon Text"/>
    <w:basedOn w:val="1"/>
    <w:link w:val="15"/>
    <w:uiPriority w:val="0"/>
    <w:rPr>
      <w:sz w:val="18"/>
      <w:szCs w:val="18"/>
    </w:rPr>
  </w:style>
  <w:style w:type="paragraph" w:styleId="4">
    <w:name w:val="footer"/>
    <w:basedOn w:val="1"/>
    <w:link w:val="12"/>
    <w:uiPriority w:val="99"/>
    <w:pPr>
      <w:tabs>
        <w:tab w:val="center" w:pos="4153"/>
        <w:tab w:val="right" w:pos="8306"/>
      </w:tabs>
      <w:snapToGrid w:val="0"/>
      <w:jc w:val="left"/>
    </w:pPr>
    <w:rPr>
      <w:sz w:val="18"/>
      <w:szCs w:val="18"/>
    </w:rPr>
  </w:style>
  <w:style w:type="paragraph" w:styleId="5">
    <w:name w:val="header"/>
    <w:basedOn w:val="1"/>
    <w:link w:val="14"/>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17</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2022-02-28T18:57:00Z</dcterms:created>
  <dc:creator>潘伟蕾</dc:creator>
  <cp:lastModifiedBy>应心茹</cp:lastModifiedBy>
  <cp:lastPrinted>2012-11-26T18:11:00Z</cp:lastPrinted>
  <dcterms:modified xsi:type="dcterms:W3CDTF">2023-09-08T03:08:05Z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