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default" w:ascii="黑体" w:eastAsia="黑体"/>
          <w:color w:val="000000"/>
          <w:sz w:val="30"/>
          <w:szCs w:val="30"/>
          <w:highlight w:val="none"/>
          <w:u w:val="single"/>
        </w:rPr>
        <w:t>23018</w:t>
      </w:r>
      <w:r>
        <w:rPr>
          <w:rFonts w:hint="eastAsia" w:ascii="黑体" w:eastAsia="黑体"/>
          <w:sz w:val="30"/>
          <w:szCs w:val="30"/>
          <w:highlight w:val="none"/>
          <w:u w:val="single"/>
        </w:rPr>
        <w:t>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default"/>
          <w:color w:val="000000"/>
          <w:szCs w:val="21"/>
          <w:highlight w:val="none"/>
          <w:u w:val="single"/>
        </w:rPr>
        <w:t>23018</w:t>
      </w:r>
      <w:r>
        <w:rPr>
          <w:rFonts w:hint="eastAsia"/>
          <w:szCs w:val="21"/>
          <w:highlight w:val="none"/>
          <w:u w:val="single"/>
        </w:rPr>
        <w:t>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600</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default" w:ascii="宋体"/>
          <w:color w:val="000000"/>
          <w:szCs w:val="21"/>
          <w:highlight w:val="none"/>
          <w:u w:val="single"/>
        </w:rPr>
        <w:t>23018</w:t>
      </w:r>
      <w:r>
        <w:rPr>
          <w:rFonts w:hint="eastAsia" w:ascii="宋体" w:hAnsi="宋体"/>
          <w:szCs w:val="21"/>
          <w:highlight w:val="none"/>
        </w:rPr>
        <w:t>号银行理财计划产品说明书》和《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ascii="黑体" w:eastAsia="黑体"/>
          <w:bCs/>
          <w:sz w:val="30"/>
          <w:szCs w:val="30"/>
          <w:highlight w:val="none"/>
          <w:u w:val="single"/>
        </w:rPr>
      </w:pPr>
      <w:r>
        <w:rPr>
          <w:rFonts w:hint="eastAsia" w:ascii="黑体" w:eastAsia="黑体"/>
          <w:bCs/>
          <w:sz w:val="30"/>
          <w:szCs w:val="30"/>
          <w:highlight w:val="none"/>
        </w:rPr>
        <w:t>温州银行“金鹿理财-臻享”</w:t>
      </w:r>
      <w:r>
        <w:rPr>
          <w:rFonts w:hint="default" w:ascii="黑体" w:eastAsia="黑体"/>
          <w:bCs/>
          <w:color w:val="000000"/>
          <w:sz w:val="30"/>
          <w:szCs w:val="30"/>
          <w:highlight w:val="none"/>
          <w:u w:val="single"/>
        </w:rPr>
        <w:t>23018</w:t>
      </w:r>
      <w:r>
        <w:rPr>
          <w:rFonts w:hint="eastAsia" w:ascii="黑体" w:eastAsia="黑体"/>
          <w:bCs/>
          <w:sz w:val="30"/>
          <w:szCs w:val="30"/>
          <w:highlight w:val="none"/>
          <w:u w:val="single"/>
        </w:rPr>
        <w:t>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default"/>
          <w:color w:val="000000"/>
          <w:sz w:val="18"/>
          <w:szCs w:val="18"/>
          <w:highlight w:val="none"/>
        </w:rPr>
        <w:t>23018</w:t>
      </w:r>
      <w:r>
        <w:rPr>
          <w:rFonts w:hint="eastAsia"/>
          <w:sz w:val="18"/>
          <w:szCs w:val="18"/>
          <w:highlight w:val="none"/>
        </w:rPr>
        <w:t>号银行理财计划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default"/>
                <w:color w:val="000000"/>
                <w:sz w:val="18"/>
                <w:szCs w:val="18"/>
                <w:highlight w:val="none"/>
                <w:u w:val="single"/>
              </w:rPr>
              <w:t>23018</w:t>
            </w:r>
            <w:r>
              <w:rPr>
                <w:sz w:val="18"/>
                <w:szCs w:val="18"/>
                <w:highlight w:val="none"/>
                <w:u w:val="single"/>
              </w:rPr>
              <w:t>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eastAsia"/>
                <w:color w:val="000000"/>
                <w:sz w:val="18"/>
                <w:szCs w:val="18"/>
                <w:highlight w:val="none"/>
              </w:rPr>
              <w:t>Z23018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eastAsia"/>
                <w:color w:val="000000"/>
                <w:sz w:val="18"/>
                <w:szCs w:val="18"/>
                <w:highlight w:val="none"/>
                <w:lang w:val="en-US" w:eastAsia="zh-Hans"/>
              </w:rPr>
              <w:t>C109222</w:t>
            </w:r>
            <w:r>
              <w:rPr>
                <w:rFonts w:hint="default"/>
                <w:color w:val="000000"/>
                <w:sz w:val="18"/>
                <w:szCs w:val="18"/>
                <w:highlight w:val="none"/>
                <w:lang w:eastAsia="zh-Hans"/>
              </w:rPr>
              <w:t>3A</w:t>
            </w:r>
            <w:r>
              <w:rPr>
                <w:rFonts w:hint="eastAsia"/>
                <w:color w:val="000000"/>
                <w:sz w:val="18"/>
                <w:szCs w:val="18"/>
                <w:highlight w:val="none"/>
                <w:lang w:val="en-US" w:eastAsia="zh-Hans"/>
              </w:rPr>
              <w:t>000</w:t>
            </w:r>
            <w:r>
              <w:rPr>
                <w:rFonts w:hint="default"/>
                <w:color w:val="000000"/>
                <w:sz w:val="18"/>
                <w:szCs w:val="18"/>
                <w:highlight w:val="none"/>
                <w:lang w:eastAsia="zh-Hans"/>
              </w:rPr>
              <w:t>01</w:t>
            </w:r>
            <w:r>
              <w:rPr>
                <w:rFonts w:hint="eastAsia"/>
                <w:color w:val="000000"/>
                <w:sz w:val="18"/>
                <w:szCs w:val="18"/>
                <w:highlight w:val="none"/>
                <w:lang w:val="en-US" w:eastAsia="zh-Hans"/>
              </w:rPr>
              <w:t>7</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600</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2023年9月13日至</w:t>
            </w:r>
            <w:r>
              <w:rPr>
                <w:rFonts w:hint="default"/>
                <w:color w:val="000000"/>
                <w:sz w:val="18"/>
                <w:highlight w:val="none"/>
                <w:u w:val="single"/>
              </w:rPr>
              <w:t>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3.90%</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3.90%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2023年9月13日</w:t>
      </w:r>
      <w:r>
        <w:rPr>
          <w:rFonts w:hint="eastAsia"/>
          <w:sz w:val="18"/>
          <w:szCs w:val="18"/>
          <w:highlight w:val="none"/>
        </w:rPr>
        <w:t>至</w:t>
      </w:r>
      <w:r>
        <w:rPr>
          <w:rFonts w:hint="default"/>
          <w:color w:val="000000"/>
          <w:sz w:val="18"/>
          <w:szCs w:val="18"/>
          <w:highlight w:val="none"/>
        </w:rPr>
        <w:t>2023年9月19日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2025年5月12日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numPr>
          <w:ilvl w:val="0"/>
          <w:numId w:val="0"/>
        </w:numPr>
        <w:adjustRightInd w:val="0"/>
        <w:snapToGrid w:val="0"/>
        <w:spacing w:line="286" w:lineRule="auto"/>
        <w:ind w:leftChars="0"/>
        <w:rPr>
          <w:rFonts w:hint="eastAsia"/>
          <w:sz w:val="18"/>
          <w:szCs w:val="18"/>
          <w:highlight w:val="none"/>
        </w:rPr>
      </w:pPr>
      <w:r>
        <w:rPr>
          <w:rFonts w:hint="default"/>
          <w:sz w:val="18"/>
          <w:szCs w:val="18"/>
          <w:highlight w:val="none"/>
        </w:rPr>
        <w:t>（2）</w:t>
      </w:r>
      <w:r>
        <w:rPr>
          <w:rFonts w:hint="eastAsia"/>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w:t>
      </w:r>
      <w:r>
        <w:rPr>
          <w:sz w:val="18"/>
          <w:szCs w:val="18"/>
          <w:highlight w:val="none"/>
        </w:rPr>
        <w:t>0</w:t>
      </w:r>
      <w:r>
        <w:rPr>
          <w:rFonts w:hint="eastAsia"/>
          <w:sz w:val="18"/>
          <w:szCs w:val="18"/>
          <w:highlight w:val="none"/>
        </w:rPr>
        <w:t>天。假设产品业绩比较基准为</w:t>
      </w:r>
      <w:r>
        <w:rPr>
          <w:rFonts w:hint="eastAsia"/>
          <w:sz w:val="18"/>
          <w:szCs w:val="18"/>
          <w:highlight w:val="none"/>
          <w:lang w:val="en-US" w:eastAsia="zh-CN"/>
        </w:rPr>
        <w:t>3.9</w:t>
      </w:r>
      <w:r>
        <w:rPr>
          <w:rFonts w:hint="eastAsia"/>
          <w:sz w:val="18"/>
          <w:szCs w:val="18"/>
          <w:highlight w:val="none"/>
        </w:rPr>
        <w:t>%。到期时扣除托管费、销售服务费、固定管理费及其他费用（如有）后，如产品净值为1.072，此时， (1.072/1.00-1)×365/60</w:t>
      </w:r>
      <w:r>
        <w:rPr>
          <w:sz w:val="18"/>
          <w:szCs w:val="18"/>
          <w:highlight w:val="none"/>
        </w:rPr>
        <w:t>0</w:t>
      </w:r>
      <w:r>
        <w:rPr>
          <w:rFonts w:hint="eastAsia"/>
          <w:sz w:val="18"/>
          <w:szCs w:val="18"/>
          <w:highlight w:val="none"/>
        </w:rPr>
        <w:t>=4.</w:t>
      </w:r>
      <w:r>
        <w:rPr>
          <w:rFonts w:hint="eastAsia"/>
          <w:sz w:val="18"/>
          <w:szCs w:val="18"/>
          <w:highlight w:val="none"/>
          <w:lang w:val="en-US" w:eastAsia="zh-CN"/>
        </w:rPr>
        <w:t>38</w:t>
      </w:r>
      <w:r>
        <w:rPr>
          <w:rFonts w:hint="eastAsia"/>
          <w:sz w:val="18"/>
          <w:szCs w:val="18"/>
          <w:highlight w:val="none"/>
        </w:rPr>
        <w:t>%&gt;</w:t>
      </w:r>
      <w:r>
        <w:rPr>
          <w:rFonts w:hint="eastAsia"/>
          <w:sz w:val="18"/>
          <w:szCs w:val="18"/>
          <w:highlight w:val="none"/>
          <w:lang w:val="en-US" w:eastAsia="zh-CN"/>
        </w:rPr>
        <w:t>3.9</w:t>
      </w:r>
      <w:r>
        <w:rPr>
          <w:rFonts w:hint="eastAsia"/>
          <w:sz w:val="18"/>
          <w:szCs w:val="18"/>
          <w:highlight w:val="none"/>
        </w:rPr>
        <w:t>%，即投资收益超越业绩比较基准，则投资管理人对超过业绩比较基准部分收益收取浮动管理费，浮动管理费为：1,000,000.00×[1.072-1.00×(1+</w:t>
      </w:r>
      <w:r>
        <w:rPr>
          <w:rFonts w:hint="eastAsia"/>
          <w:sz w:val="18"/>
          <w:szCs w:val="18"/>
          <w:highlight w:val="none"/>
          <w:lang w:val="en-US" w:eastAsia="zh-CN"/>
        </w:rPr>
        <w:t>3.9</w:t>
      </w:r>
      <w:r>
        <w:rPr>
          <w:rFonts w:hint="eastAsia"/>
          <w:sz w:val="18"/>
          <w:szCs w:val="18"/>
          <w:highlight w:val="none"/>
        </w:rPr>
        <w:t>%×6</w:t>
      </w:r>
      <w:r>
        <w:rPr>
          <w:sz w:val="18"/>
          <w:szCs w:val="18"/>
          <w:highlight w:val="none"/>
        </w:rPr>
        <w:t>00</w:t>
      </w:r>
      <w:r>
        <w:rPr>
          <w:rFonts w:hint="eastAsia"/>
          <w:sz w:val="18"/>
          <w:szCs w:val="18"/>
          <w:highlight w:val="none"/>
        </w:rPr>
        <w:t>/365)]×80%=</w:t>
      </w:r>
      <w:r>
        <w:rPr>
          <w:rFonts w:hint="default"/>
          <w:sz w:val="18"/>
          <w:szCs w:val="18"/>
          <w:highlight w:val="none"/>
          <w:lang w:eastAsia="zh-CN"/>
        </w:rPr>
        <w:t>6312</w:t>
      </w:r>
      <w:r>
        <w:rPr>
          <w:rFonts w:hint="eastAsia"/>
          <w:sz w:val="18"/>
          <w:szCs w:val="18"/>
          <w:highlight w:val="none"/>
          <w:lang w:val="en-US" w:eastAsia="zh-Hans"/>
        </w:rPr>
        <w:t>.</w:t>
      </w:r>
      <w:r>
        <w:rPr>
          <w:rFonts w:hint="default"/>
          <w:sz w:val="18"/>
          <w:szCs w:val="18"/>
          <w:highlight w:val="none"/>
          <w:lang w:eastAsia="zh-Hans"/>
        </w:rPr>
        <w:t>32</w:t>
      </w:r>
      <w:r>
        <w:rPr>
          <w:rFonts w:hint="eastAsia"/>
          <w:sz w:val="18"/>
          <w:szCs w:val="18"/>
          <w:highlight w:val="none"/>
        </w:rPr>
        <w:t>（元）。扣除浮动管理费后，客户最终收益为：1,000,000.00×（1.072-1.00）-</w:t>
      </w:r>
      <w:r>
        <w:rPr>
          <w:rFonts w:hint="default"/>
          <w:sz w:val="18"/>
          <w:szCs w:val="18"/>
          <w:highlight w:val="none"/>
          <w:lang w:eastAsia="zh-CN"/>
        </w:rPr>
        <w:t>6312</w:t>
      </w:r>
      <w:r>
        <w:rPr>
          <w:rFonts w:hint="eastAsia"/>
          <w:sz w:val="18"/>
          <w:szCs w:val="18"/>
          <w:highlight w:val="none"/>
          <w:lang w:val="en-US" w:eastAsia="zh-Hans"/>
        </w:rPr>
        <w:t>.</w:t>
      </w:r>
      <w:r>
        <w:rPr>
          <w:rFonts w:hint="default"/>
          <w:sz w:val="18"/>
          <w:szCs w:val="18"/>
          <w:highlight w:val="none"/>
          <w:lang w:eastAsia="zh-Hans"/>
        </w:rPr>
        <w:t>32</w:t>
      </w:r>
      <w:r>
        <w:rPr>
          <w:rFonts w:hint="eastAsia"/>
          <w:sz w:val="18"/>
          <w:szCs w:val="18"/>
          <w:highlight w:val="none"/>
        </w:rPr>
        <w:t>=</w:t>
      </w:r>
      <w:r>
        <w:rPr>
          <w:rFonts w:hint="default"/>
          <w:sz w:val="18"/>
          <w:szCs w:val="18"/>
          <w:highlight w:val="none"/>
          <w:lang w:eastAsia="zh-CN"/>
        </w:rPr>
        <w:t>65687</w:t>
      </w:r>
      <w:r>
        <w:rPr>
          <w:rFonts w:hint="eastAsia"/>
          <w:sz w:val="18"/>
          <w:szCs w:val="18"/>
          <w:highlight w:val="none"/>
          <w:lang w:val="en-US" w:eastAsia="zh-Hans"/>
        </w:rPr>
        <w:t>.</w:t>
      </w:r>
      <w:r>
        <w:rPr>
          <w:rFonts w:hint="default"/>
          <w:sz w:val="18"/>
          <w:szCs w:val="18"/>
          <w:highlight w:val="none"/>
          <w:lang w:eastAsia="zh-Hans"/>
        </w:rPr>
        <w:t>68</w:t>
      </w:r>
      <w:r>
        <w:rPr>
          <w:rFonts w:hint="eastAsia"/>
          <w:sz w:val="18"/>
          <w:szCs w:val="18"/>
          <w:highlight w:val="none"/>
        </w:rPr>
        <w:t>（元），产品到期时，客户获得的实际收益相当于达到年化收益率水平为：</w:t>
      </w:r>
      <w:r>
        <w:rPr>
          <w:rFonts w:hint="default"/>
          <w:sz w:val="18"/>
          <w:szCs w:val="18"/>
          <w:highlight w:val="none"/>
          <w:lang w:eastAsia="zh-CN"/>
        </w:rPr>
        <w:t>65687</w:t>
      </w:r>
      <w:r>
        <w:rPr>
          <w:rFonts w:hint="eastAsia"/>
          <w:sz w:val="18"/>
          <w:szCs w:val="18"/>
          <w:highlight w:val="none"/>
          <w:lang w:val="en-US" w:eastAsia="zh-Hans"/>
        </w:rPr>
        <w:t>.</w:t>
      </w:r>
      <w:r>
        <w:rPr>
          <w:rFonts w:hint="default"/>
          <w:sz w:val="18"/>
          <w:szCs w:val="18"/>
          <w:highlight w:val="none"/>
          <w:lang w:eastAsia="zh-Hans"/>
        </w:rPr>
        <w:t>68</w:t>
      </w:r>
      <w:r>
        <w:rPr>
          <w:rFonts w:hint="eastAsia"/>
          <w:sz w:val="18"/>
          <w:szCs w:val="18"/>
          <w:highlight w:val="none"/>
        </w:rPr>
        <w:t>/1,000,000.00×365/60</w:t>
      </w:r>
      <w:r>
        <w:rPr>
          <w:sz w:val="18"/>
          <w:szCs w:val="18"/>
          <w:highlight w:val="none"/>
        </w:rPr>
        <w:t>0</w:t>
      </w:r>
      <w:r>
        <w:rPr>
          <w:rFonts w:hint="eastAsia"/>
          <w:sz w:val="18"/>
          <w:szCs w:val="18"/>
          <w:highlight w:val="none"/>
        </w:rPr>
        <w:t>=4.</w:t>
      </w:r>
      <w:r>
        <w:rPr>
          <w:sz w:val="18"/>
          <w:szCs w:val="18"/>
          <w:highlight w:val="none"/>
        </w:rPr>
        <w:t>0</w:t>
      </w:r>
      <w:r>
        <w:rPr>
          <w:rFonts w:hint="default"/>
          <w:sz w:val="18"/>
          <w:szCs w:val="18"/>
          <w:highlight w:val="none"/>
        </w:rPr>
        <w:t>0</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 60</w:t>
      </w:r>
      <w:r>
        <w:rPr>
          <w:sz w:val="18"/>
          <w:szCs w:val="18"/>
          <w:highlight w:val="none"/>
        </w:rPr>
        <w:t>0</w:t>
      </w:r>
      <w:r>
        <w:rPr>
          <w:rFonts w:hint="eastAsia"/>
          <w:sz w:val="18"/>
          <w:szCs w:val="18"/>
          <w:highlight w:val="none"/>
        </w:rPr>
        <w:t>天。假设产品业绩比较基准为</w:t>
      </w:r>
      <w:r>
        <w:rPr>
          <w:rFonts w:hint="eastAsia"/>
          <w:sz w:val="18"/>
          <w:szCs w:val="18"/>
          <w:highlight w:val="none"/>
          <w:lang w:val="en-US" w:eastAsia="zh-CN"/>
        </w:rPr>
        <w:t>3.9</w:t>
      </w:r>
      <w:r>
        <w:rPr>
          <w:rFonts w:hint="eastAsia"/>
          <w:sz w:val="18"/>
          <w:szCs w:val="18"/>
          <w:highlight w:val="none"/>
        </w:rPr>
        <w:t>%。到期时扣除托管费、销售服务费、固定管理费及其他费用（如有）后，如产品净值为1.06，此时，(1.06/1.00-1)×365/60</w:t>
      </w:r>
      <w:r>
        <w:rPr>
          <w:sz w:val="18"/>
          <w:szCs w:val="18"/>
          <w:highlight w:val="none"/>
        </w:rPr>
        <w:t>0</w:t>
      </w:r>
      <w:r>
        <w:rPr>
          <w:rFonts w:hint="eastAsia"/>
          <w:sz w:val="18"/>
          <w:szCs w:val="18"/>
          <w:highlight w:val="none"/>
        </w:rPr>
        <w:t>=3.</w:t>
      </w:r>
      <w:r>
        <w:rPr>
          <w:rFonts w:hint="eastAsia"/>
          <w:sz w:val="18"/>
          <w:szCs w:val="18"/>
          <w:highlight w:val="none"/>
          <w:lang w:val="en-US" w:eastAsia="zh-CN"/>
        </w:rPr>
        <w:t>6</w:t>
      </w:r>
      <w:r>
        <w:rPr>
          <w:sz w:val="18"/>
          <w:szCs w:val="18"/>
          <w:highlight w:val="none"/>
        </w:rPr>
        <w:t>5</w:t>
      </w:r>
      <w:r>
        <w:rPr>
          <w:rFonts w:hint="eastAsia"/>
          <w:sz w:val="18"/>
          <w:szCs w:val="18"/>
          <w:highlight w:val="none"/>
        </w:rPr>
        <w:t xml:space="preserve">%&lt; </w:t>
      </w:r>
      <w:r>
        <w:rPr>
          <w:rFonts w:hint="eastAsia"/>
          <w:sz w:val="18"/>
          <w:szCs w:val="18"/>
          <w:highlight w:val="none"/>
          <w:lang w:val="en-US" w:eastAsia="zh-CN"/>
        </w:rPr>
        <w:t>3.9</w:t>
      </w:r>
      <w:r>
        <w:rPr>
          <w:rFonts w:hint="eastAsia"/>
          <w:sz w:val="18"/>
          <w:szCs w:val="18"/>
          <w:highlight w:val="none"/>
        </w:rPr>
        <w:t>%，即投资收益未达到业绩比较基准，则投资管理人不收取浮动管理费，客户最终收益为：1,000,000.00×(1.06-1.00）=6</w:t>
      </w:r>
      <w:r>
        <w:rPr>
          <w:rFonts w:hint="eastAsia"/>
          <w:sz w:val="18"/>
          <w:szCs w:val="18"/>
          <w:highlight w:val="none"/>
          <w:lang w:val="en-US" w:eastAsia="zh-CN"/>
        </w:rPr>
        <w:t>0</w:t>
      </w:r>
      <w:r>
        <w:rPr>
          <w:rFonts w:hint="eastAsia"/>
          <w:sz w:val="18"/>
          <w:szCs w:val="18"/>
          <w:highlight w:val="none"/>
        </w:rPr>
        <w:t>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w:t>
      </w:r>
      <w:r>
        <w:rPr>
          <w:sz w:val="18"/>
          <w:szCs w:val="18"/>
          <w:highlight w:val="none"/>
        </w:rPr>
        <w:t>0</w:t>
      </w:r>
      <w:r>
        <w:rPr>
          <w:rFonts w:hint="eastAsia"/>
          <w:sz w:val="18"/>
          <w:szCs w:val="18"/>
          <w:highlight w:val="none"/>
        </w:rPr>
        <w:t>天。假设产品业绩比较基准为</w:t>
      </w:r>
      <w:r>
        <w:rPr>
          <w:rFonts w:hint="eastAsia"/>
          <w:sz w:val="18"/>
          <w:szCs w:val="18"/>
          <w:highlight w:val="none"/>
          <w:lang w:val="en-US" w:eastAsia="zh-CN"/>
        </w:rPr>
        <w:t>3.9</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default"/>
          <w:color w:val="000000"/>
          <w:sz w:val="18"/>
          <w:szCs w:val="18"/>
          <w:highlight w:val="none"/>
        </w:rPr>
        <w:t>23018</w:t>
      </w:r>
      <w:r>
        <w:rPr>
          <w:rFonts w:hint="eastAsia"/>
          <w:sz w:val="18"/>
          <w:szCs w:val="18"/>
          <w:highlight w:val="none"/>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AIaggJqu9keT7IacRC5NBkq0UaU=" w:salt="M+EmnldAypjHcl2ZUXwEZ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4DB549B"/>
    <w:rsid w:val="190C6A15"/>
    <w:rsid w:val="1BB60D30"/>
    <w:rsid w:val="1DD91150"/>
    <w:rsid w:val="20DB6550"/>
    <w:rsid w:val="22A04815"/>
    <w:rsid w:val="23535C37"/>
    <w:rsid w:val="26531D8B"/>
    <w:rsid w:val="26A745EE"/>
    <w:rsid w:val="275A751E"/>
    <w:rsid w:val="27697D3C"/>
    <w:rsid w:val="27EE5BCD"/>
    <w:rsid w:val="2AFF68BE"/>
    <w:rsid w:val="2D1D2B95"/>
    <w:rsid w:val="2D6F4CA6"/>
    <w:rsid w:val="2EB7637B"/>
    <w:rsid w:val="2F7E1AF7"/>
    <w:rsid w:val="31025CB3"/>
    <w:rsid w:val="313A7139"/>
    <w:rsid w:val="31AC46DA"/>
    <w:rsid w:val="320C3990"/>
    <w:rsid w:val="34B74934"/>
    <w:rsid w:val="39766FF2"/>
    <w:rsid w:val="3B46D2A4"/>
    <w:rsid w:val="3C5374EE"/>
    <w:rsid w:val="3D1B017D"/>
    <w:rsid w:val="3F044FE7"/>
    <w:rsid w:val="3FE3216C"/>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E5D7BD5"/>
    <w:rsid w:val="5F4A6202"/>
    <w:rsid w:val="5FAF8ADF"/>
    <w:rsid w:val="608470BC"/>
    <w:rsid w:val="611808E0"/>
    <w:rsid w:val="61E21802"/>
    <w:rsid w:val="621362E3"/>
    <w:rsid w:val="621F1292"/>
    <w:rsid w:val="627B657A"/>
    <w:rsid w:val="636035E2"/>
    <w:rsid w:val="63DF9DEC"/>
    <w:rsid w:val="6A140818"/>
    <w:rsid w:val="6D15771F"/>
    <w:rsid w:val="6EFF375B"/>
    <w:rsid w:val="793D346A"/>
    <w:rsid w:val="B93A49A3"/>
    <w:rsid w:val="BB2A8372"/>
    <w:rsid w:val="DFE4B709"/>
    <w:rsid w:val="F6EF9E8F"/>
    <w:rsid w:val="F7FB3357"/>
    <w:rsid w:val="FF9F9463"/>
    <w:rsid w:val="FFFBCA9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character" w:customStyle="1" w:styleId="9">
    <w:name w:val="纯文本 字符"/>
    <w:link w:val="3"/>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qFormat/>
    <w:uiPriority w:val="99"/>
    <w:rPr>
      <w:kern w:val="2"/>
      <w:sz w:val="18"/>
      <w:szCs w:val="18"/>
    </w:rPr>
  </w:style>
  <w:style w:type="paragraph" w:customStyle="1" w:styleId="12">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0</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2022-03-09T23:10:00Z</dcterms:created>
  <dc:creator>陈浩</dc:creator>
  <cp:lastModifiedBy>应心茹</cp:lastModifiedBy>
  <dcterms:modified xsi:type="dcterms:W3CDTF">2023-09-08T06:16:24Z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