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第32期28天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32</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2023年9月21日至2023年9月27日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2023年10月19日</w:t>
            </w:r>
            <w:r>
              <w:rPr>
                <w:rFonts w:hint="eastAsia" w:ascii="宋体" w:hAnsi="宋体" w:eastAsia="宋体" w:cs="Times New Roman"/>
                <w:color w:val="000000"/>
                <w:kern w:val="0"/>
                <w:sz w:val="18"/>
                <w:szCs w:val="18"/>
                <w:u w:val="single"/>
                <w:lang w:val="en-US" w:eastAsia="zh-Hans" w:bidi="ar-SA"/>
              </w:rPr>
              <w:t>至2023年10月25日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“金鹿理财-普惠月享”3号开放式净值型银行理财计划风险揭示书》、《温州银行“金鹿理财-普惠月享”3号开放式净值型银行理财计划产品说明书》、《温州银行“金鹿理财-普惠月享”3号开放式净值型（第</w:t>
            </w:r>
            <w:r>
              <w:rPr>
                <w:rFonts w:hint="eastAsia" w:ascii="宋体" w:hAnsi="宋体" w:eastAsia="宋体"/>
                <w:color w:val="000000"/>
                <w:sz w:val="18"/>
                <w:szCs w:val="20"/>
                <w:lang w:val="en-US" w:eastAsia="zh-Hans"/>
              </w:rPr>
              <w:t>32</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wtwQiI876zFk/1wpv5FvrIt3Ko=" w:salt="fJJi9bhLPGtqDLVdEN2gM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39261AF"/>
    <w:rsid w:val="511E88BC"/>
    <w:rsid w:val="7F7EC3B3"/>
    <w:rsid w:val="BBDDF786"/>
    <w:rsid w:val="E7EC35E9"/>
    <w:rsid w:val="EAFE2858"/>
    <w:rsid w:val="FFF7CB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2023-09-14T08:08:50Z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