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温盈”19038号开放式净值型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第6期280天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19038号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6</w:t>
            </w:r>
            <w:r>
              <w:rPr>
                <w:rFonts w:hint="eastAsia" w:ascii="宋体" w:hAnsi="宋体" w:eastAsia="宋体" w:cs="宋体"/>
                <w:color w:val="000000"/>
                <w:kern w:val="0"/>
                <w:sz w:val="18"/>
                <w:szCs w:val="18"/>
                <w:lang w:val="en-US" w:eastAsia="zh-CN" w:bidi="ar-SA"/>
              </w:rPr>
              <w:t>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3.0%-3.7%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2023年9月20日至2023年9月26日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2024年6月26日</w:t>
            </w:r>
            <w:r>
              <w:rPr>
                <w:rFonts w:hint="eastAsia" w:ascii="宋体" w:hAnsi="宋体" w:eastAsia="宋体" w:cs="Times New Roman"/>
                <w:color w:val="000000"/>
                <w:kern w:val="0"/>
                <w:sz w:val="18"/>
                <w:szCs w:val="18"/>
                <w:u w:val="single"/>
                <w:lang w:val="en-US" w:eastAsia="zh-Hans" w:bidi="ar-SA"/>
              </w:rPr>
              <w:t>至2024年7月2日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2024年7月3日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“金鹿理财-温盈”19038号开放式净值型银行理财计划风险揭示书》、《温州银行“金鹿理财-温盈”19038号开放式净值型银行理财计划产品说明书》、《温州银行“金鹿理财-温盈”19038号开放式净值型（第</w:t>
            </w:r>
            <w:r>
              <w:rPr>
                <w:rFonts w:hint="eastAsia" w:ascii="宋体" w:hAnsi="宋体" w:eastAsia="宋体"/>
                <w:color w:val="000000"/>
                <w:sz w:val="18"/>
                <w:szCs w:val="20"/>
                <w:lang w:val="en-US" w:eastAsia="zh-Hans"/>
              </w:rPr>
              <w:t>6</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VYl4tUcTkw7aTXc3uFU5OQOC6aw=" w:salt="N95nwCu7j0IKCcdvU1VsY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44728C3"/>
    <w:rsid w:val="3BEF0754"/>
    <w:rsid w:val="511E88BC"/>
    <w:rsid w:val="7BCF8013"/>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2023-09-14T08:08:47Z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