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温盈”20031号开放式净值型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第8期182天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20031号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8</w:t>
            </w:r>
            <w:r>
              <w:rPr>
                <w:rFonts w:hint="eastAsia" w:ascii="宋体" w:hAnsi="宋体" w:eastAsia="宋体" w:cs="宋体"/>
                <w:color w:val="000000"/>
                <w:kern w:val="0"/>
                <w:sz w:val="18"/>
                <w:szCs w:val="18"/>
                <w:lang w:val="en-US" w:eastAsia="zh-CN" w:bidi="ar-SA"/>
              </w:rPr>
              <w:t>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2.9%-3.6%</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2023年9月20日至2023年9月26日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2024年3月20日</w:t>
            </w:r>
            <w:r>
              <w:rPr>
                <w:rFonts w:hint="eastAsia" w:ascii="宋体" w:hAnsi="宋体" w:eastAsia="宋体" w:cs="Times New Roman"/>
                <w:color w:val="000000"/>
                <w:kern w:val="0"/>
                <w:sz w:val="18"/>
                <w:szCs w:val="18"/>
                <w:u w:val="single"/>
                <w:lang w:val="en-US" w:eastAsia="zh-Hans" w:bidi="ar-SA"/>
              </w:rPr>
              <w:t>至2024年3月26日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2024年3月27日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“金鹿理财-温盈”20031号开放式净值型银行理财计划风险揭示书》、《温州银行“金鹿理财-温盈”20031号开放式净值型银行理财计划产品说明书》、《温州银行“金鹿理财-温盈”20031号开放式净值型（第</w:t>
            </w:r>
            <w:r>
              <w:rPr>
                <w:rFonts w:hint="eastAsia" w:ascii="宋体" w:hAnsi="宋体" w:eastAsia="宋体"/>
                <w:color w:val="000000"/>
                <w:sz w:val="18"/>
                <w:szCs w:val="20"/>
                <w:lang w:val="en-US" w:eastAsia="zh-Hans"/>
              </w:rPr>
              <w:t>8</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bAaeDOzLV2z6OCZ4zrTCoODKk+w=" w:salt="S4Nij5hgJWPkxGXx987bk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60790955"/>
    <w:rsid w:val="7DBB3162"/>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2023-09-14T08:08:50Z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