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第4期376天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期376天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2023年9月20日至2023年9月26日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376天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2024年9月25日</w:t>
            </w:r>
            <w:r>
              <w:rPr>
                <w:rFonts w:hint="eastAsia" w:ascii="宋体" w:hAnsi="宋体" w:eastAsia="宋体" w:cs="Times New Roman"/>
                <w:color w:val="000000"/>
                <w:kern w:val="0"/>
                <w:sz w:val="18"/>
                <w:szCs w:val="18"/>
                <w:u w:val="single"/>
                <w:lang w:val="en-US" w:eastAsia="zh-Hans" w:bidi="ar-SA"/>
              </w:rPr>
              <w:t>至2024年10月6日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“金鹿理财-温盈”20068号开放式净值型银行理财计划风险揭示书》、《温州银行“金鹿理财-温盈”20068号开放式净值型银行理财计划产品说明书》、《温州银行“金鹿理财-温盈”20068号开放式净值型（第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期376天）银行理财计划开放认购（申购）申请书》和《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ZkyhILRDUJn1/ifzXNSiWiyYsg=" w:salt="P72Z5isYvW8OnK01z64n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BA0D5F3"/>
    <w:rsid w:val="6BB0050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2023-09-14T08:08:48Z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