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第10期85天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2023年9月26日至2023年10月8日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2023年12月26日</w:t>
            </w:r>
            <w:r>
              <w:rPr>
                <w:rFonts w:hint="eastAsia" w:ascii="宋体" w:hAnsi="宋体" w:eastAsia="宋体" w:cs="Times New Roman"/>
                <w:color w:val="000000"/>
                <w:kern w:val="0"/>
                <w:sz w:val="18"/>
                <w:szCs w:val="18"/>
                <w:u w:val="single"/>
                <w:lang w:val="en-US" w:eastAsia="zh-Hans" w:bidi="ar-SA"/>
              </w:rPr>
              <w:t>至2024年1月1日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“金鹿理财-普惠季享”6号开放式净值型银行理财计划风险揭示书》、《温州银行“金鹿理财-普惠季享”6号开放式净值型银行理财计划产品说明书》、《温州银行“金鹿理财-普惠季享”6号开放式净值型（第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期85天）银行理财计划开放认购（申购）申请书》和《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ocQPNXenlPqwWDtocF1y4RmpOE=" w:salt="NP+tv1o/qaCbTy6iDtvW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9452564"/>
    <w:rsid w:val="3BEF0754"/>
    <w:rsid w:val="511E88BC"/>
    <w:rsid w:val="5BCB89F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2023-09-21T09:24:52Z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