
<file path=[Content_Types].xml><?xml version="1.0" encoding="utf-8"?>
<Types xmlns="http://schemas.openxmlformats.org/package/2006/content-types">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ody>
    <w:p>
      <w:pPr>
        <w:spacing w:line="372" w:lineRule="auto"/>
        <w:jc w:val="center"/>
        <w:outlineLvl w:val="0"/>
        <w:rPr>
          <w:rFonts w:hint="eastAsia" w:ascii="黑体" w:hAnsi="Times New Roman" w:eastAsia="黑体"/>
          <w:color w:val="auto"/>
          <w:sz w:val="30"/>
          <w:szCs w:val="30"/>
          <w:lang w:val="en-US" w:eastAsia="zh-Hans"/>
        </w:rPr>
      </w:pPr>
      <w:bookmarkStart w:id="0" w:name="_GoBack"/>
      <w:bookmarkEnd w:id="0"/>
      <w:r>
        <w:rPr>
          <w:rFonts w:hint="eastAsia" w:ascii="黑体" w:hAnsi="Times New Roman" w:eastAsia="黑体"/>
          <w:sz w:val="30"/>
          <w:szCs w:val="30"/>
        </w:rPr>
        <w:t>温州银行</w:t>
      </w:r>
      <w:r>
        <w:rPr>
          <w:rFonts w:hint="eastAsia" w:ascii="黑体" w:hAnsi="Times New Roman" w:eastAsia="黑体"/>
          <w:sz w:val="30"/>
          <w:szCs w:val="30"/>
          <w:lang w:eastAsia="zh-Hans"/>
        </w:rPr>
        <w:t>“</w:t>
      </w:r>
      <w:r>
        <w:rPr>
          <w:rFonts w:hint="eastAsia" w:ascii="黑体" w:hAnsi="Times New Roman" w:eastAsia="黑体"/>
          <w:sz w:val="30"/>
          <w:szCs w:val="30"/>
          <w:lang w:val="en-US" w:eastAsia="zh-Hans"/>
        </w:rPr>
        <w:t>金鹿理财</w:t>
      </w:r>
      <w:r>
        <w:rPr>
          <w:rFonts w:hint="default" w:ascii="黑体" w:hAnsi="Times New Roman" w:eastAsia="黑体"/>
          <w:sz w:val="30"/>
          <w:szCs w:val="30"/>
          <w:lang w:eastAsia="zh-Hans"/>
        </w:rPr>
        <w:t>-</w:t>
      </w:r>
      <w:r>
        <w:rPr>
          <w:rFonts w:hint="eastAsia" w:ascii="黑体" w:hAnsi="Times New Roman" w:eastAsia="黑体"/>
          <w:color w:val="000000"/>
          <w:sz w:val="30"/>
          <w:szCs w:val="30"/>
          <w:lang w:val="en-US" w:eastAsia="zh-Hans"/>
        </w:rPr>
        <w:t>普惠颐养”20019号开放式净值型</w:t>
      </w:r>
    </w:p>
    <w:p>
      <w:pPr>
        <w:spacing w:line="372" w:lineRule="auto"/>
        <w:jc w:val="center"/>
        <w:outlineLvl w:val="0"/>
        <w:rPr>
          <w:rFonts w:hint="eastAsia" w:ascii="黑体" w:hAnsi="Times New Roman" w:eastAsia="黑体"/>
          <w:sz w:val="30"/>
          <w:szCs w:val="30"/>
        </w:rPr>
      </w:pPr>
      <w:r>
        <w:rPr>
          <w:rFonts w:hint="default" w:ascii="黑体" w:hAnsi="Times New Roman" w:eastAsia="黑体"/>
          <w:color w:val="auto"/>
          <w:sz w:val="30"/>
          <w:szCs w:val="30"/>
          <w:lang w:eastAsia="zh-Hans"/>
        </w:rPr>
        <w:t>（</w:t>
      </w:r>
      <w:r>
        <w:rPr>
          <w:rFonts w:hint="eastAsia" w:ascii="黑体" w:hAnsi="Times New Roman" w:eastAsia="黑体"/>
          <w:color w:val="000000"/>
          <w:sz w:val="30"/>
          <w:szCs w:val="30"/>
          <w:lang w:val="en-US" w:eastAsia="zh-Hans"/>
        </w:rPr>
        <w:t>第2期1087天</w:t>
      </w:r>
      <w:r>
        <w:rPr>
          <w:rFonts w:hint="default" w:ascii="黑体" w:hAnsi="Times New Roman" w:eastAsia="黑体"/>
          <w:color w:val="auto"/>
          <w:sz w:val="30"/>
          <w:szCs w:val="30"/>
          <w:lang w:eastAsia="zh-Hans"/>
        </w:rPr>
        <w:t>）</w:t>
      </w:r>
      <w:r>
        <w:rPr>
          <w:rFonts w:hint="eastAsia" w:ascii="黑体" w:hAnsi="Times New Roman" w:eastAsia="黑体"/>
          <w:color w:val="auto"/>
          <w:sz w:val="30"/>
          <w:szCs w:val="30"/>
          <w:lang w:val="en-US" w:eastAsia="zh-Hans"/>
        </w:rPr>
        <w:t>银行理财计划开放</w:t>
      </w:r>
      <w:r>
        <w:rPr>
          <w:rFonts w:hint="eastAsia" w:ascii="黑体" w:hAnsi="Times New Roman" w:eastAsia="黑体"/>
          <w:sz w:val="30"/>
          <w:szCs w:val="30"/>
        </w:rPr>
        <w:t>认购（申购）申请书</w:t>
      </w:r>
    </w:p>
    <w:tbl>
      <w:tblPr>
        <w:tblStyle w:val="3"/>
        <w:tblW w:w="9417" w:type="dxa"/>
        <w:jc w:val="cente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fixed"/>
        <w:tblCellMar>
          <w:top w:w="45" w:type="dxa"/>
          <w:left w:w="45" w:type="dxa"/>
          <w:bottom w:w="45" w:type="dxa"/>
          <w:right w:w="45" w:type="dxa"/>
        </w:tblCellMar>
      </w:tblPr>
      <w:tblGrid>
        <w:gridCol w:w="2102"/>
        <w:gridCol w:w="731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253"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产品名称</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CN" w:bidi="ar-SA"/>
              </w:rPr>
              <w:t>“金鹿理财-普惠颐养”</w:t>
            </w:r>
            <w:r>
              <w:rPr>
                <w:rFonts w:hint="eastAsia" w:ascii="宋体" w:hAnsi="宋体" w:eastAsia="宋体" w:cs="Times New Roman"/>
                <w:color w:val="000000"/>
                <w:kern w:val="0"/>
                <w:sz w:val="18"/>
                <w:szCs w:val="18"/>
                <w:u w:val="single"/>
                <w:lang w:val="en-US" w:eastAsia="zh-CN" w:bidi="ar-SA"/>
              </w:rPr>
              <w:t>20019号</w:t>
            </w:r>
            <w:r>
              <w:rPr>
                <w:rFonts w:hint="eastAsia" w:ascii="宋体" w:hAnsi="宋体" w:eastAsia="宋体" w:cs="Times New Roman"/>
                <w:kern w:val="0"/>
                <w:sz w:val="18"/>
                <w:szCs w:val="18"/>
                <w:lang w:val="en-US" w:eastAsia="zh-CN" w:bidi="ar-SA"/>
              </w:rPr>
              <w:t>开放式净值型银行理财计划</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产品编号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PY2019</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投资运作期次</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kern w:val="0"/>
                <w:sz w:val="18"/>
                <w:szCs w:val="18"/>
                <w:lang w:val="en-US" w:eastAsia="zh-CN" w:bidi="ar-SA"/>
              </w:rPr>
              <w:t>第</w:t>
            </w:r>
            <w:r>
              <w:rPr>
                <w:rFonts w:hint="eastAsia" w:ascii="宋体" w:hAnsi="宋体" w:eastAsia="宋体" w:cs="宋体"/>
                <w:color w:val="000000"/>
                <w:kern w:val="0"/>
                <w:sz w:val="18"/>
                <w:szCs w:val="18"/>
                <w:lang w:val="en-US" w:eastAsia="zh-Hans" w:bidi="ar-SA"/>
              </w:rPr>
              <w:t>2</w:t>
            </w:r>
            <w:r>
              <w:rPr>
                <w:rFonts w:hint="eastAsia" w:ascii="宋体" w:hAnsi="宋体" w:eastAsia="宋体" w:cs="宋体"/>
                <w:color w:val="000000"/>
                <w:kern w:val="0"/>
                <w:sz w:val="18"/>
                <w:szCs w:val="18"/>
                <w:lang w:val="en-US" w:eastAsia="zh-CN" w:bidi="ar-SA"/>
              </w:rPr>
              <w:t>期1087天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投资类型</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固定收益类</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适合客户</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kern w:val="0"/>
                <w:sz w:val="18"/>
                <w:szCs w:val="18"/>
                <w:lang w:val="en-US" w:eastAsia="zh-Hans" w:bidi="ar-SA"/>
              </w:rPr>
              <w:t>经温州银行评估为稳健型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平衡型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进取型</w:t>
            </w:r>
            <w:r>
              <w:rPr>
                <w:rFonts w:hint="default" w:ascii="宋体" w:hAnsi="宋体" w:eastAsia="宋体" w:cs="Times New Roman"/>
                <w:kern w:val="0"/>
                <w:sz w:val="18"/>
                <w:szCs w:val="18"/>
                <w:lang w:eastAsia="zh-Hans" w:bidi="ar-SA"/>
              </w:rPr>
              <w:t>、</w:t>
            </w:r>
            <w:r>
              <w:rPr>
                <w:rFonts w:hint="eastAsia" w:ascii="宋体" w:hAnsi="宋体" w:eastAsia="宋体" w:cs="Times New Roman"/>
                <w:kern w:val="0"/>
                <w:sz w:val="18"/>
                <w:szCs w:val="18"/>
                <w:lang w:val="en-US" w:eastAsia="zh-Hans" w:bidi="ar-SA"/>
              </w:rPr>
              <w:t>激进型的个人投资者</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业绩比较基准</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color w:val="000000"/>
                <w:kern w:val="0"/>
                <w:sz w:val="18"/>
                <w:szCs w:val="18"/>
                <w:lang w:val="en-US" w:eastAsia="zh-Hans" w:bidi="ar-SA"/>
              </w:rPr>
              <w:t>3.90%</w:t>
            </w:r>
            <w:r>
              <w:rPr>
                <w:rFonts w:hint="eastAsia" w:ascii="宋体" w:hAnsi="宋体" w:eastAsia="宋体" w:cs="Times New Roman"/>
                <w:kern w:val="0"/>
                <w:sz w:val="18"/>
                <w:szCs w:val="18"/>
                <w:lang w:val="en-US" w:eastAsia="zh-CN" w:bidi="ar-SA"/>
              </w:rPr>
              <w:t>（年化）</w:t>
            </w:r>
          </w:p>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本产品为净值型理财产品，其业绩表现将随市场波动具有不确定性。业绩比较基准并不代表实际收益率，仅作为浮动管理费计提参照使用。业绩比较基准测算依据：管理人</w:t>
            </w:r>
            <w:r>
              <w:rPr>
                <w:rFonts w:ascii="宋体" w:hAnsi="宋体" w:eastAsia="宋体" w:cs="Times New Roman"/>
                <w:kern w:val="0"/>
                <w:sz w:val="18"/>
                <w:szCs w:val="18"/>
                <w:lang w:val="en-US" w:eastAsia="zh-CN" w:bidi="ar-SA"/>
              </w:rPr>
              <w:t>参考过往投资经验，依据近期货币市场工具、债券等资产</w:t>
            </w:r>
            <w:r>
              <w:rPr>
                <w:rFonts w:hint="eastAsia" w:ascii="宋体" w:hAnsi="宋体" w:eastAsia="宋体" w:cs="Times New Roman"/>
                <w:kern w:val="0"/>
                <w:sz w:val="18"/>
                <w:szCs w:val="18"/>
                <w:lang w:val="en-US" w:eastAsia="zh-CN" w:bidi="ar-SA"/>
              </w:rPr>
              <w:t>投资</w:t>
            </w:r>
            <w:r>
              <w:rPr>
                <w:rFonts w:ascii="宋体" w:hAnsi="宋体" w:eastAsia="宋体" w:cs="Times New Roman"/>
                <w:kern w:val="0"/>
                <w:sz w:val="18"/>
                <w:szCs w:val="18"/>
                <w:lang w:val="en-US" w:eastAsia="zh-CN" w:bidi="ar-SA"/>
              </w:rPr>
              <w:t>收益水平，在产品说明书约定的投资范围和投资比例内</w:t>
            </w:r>
            <w:r>
              <w:rPr>
                <w:rFonts w:hint="eastAsia" w:ascii="宋体" w:hAnsi="宋体" w:eastAsia="宋体" w:cs="Times New Roman"/>
                <w:kern w:val="0"/>
                <w:sz w:val="18"/>
                <w:szCs w:val="18"/>
                <w:lang w:val="en-US" w:eastAsia="zh-CN" w:bidi="ar-SA"/>
              </w:rPr>
              <w:t>，结合当前利率水平、资产配比及市场同类型产品情况，经综合判断得出。</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起点认购（申购）金额</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首次投资最低金额为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万元；超出首次投资最低金额部分，须为</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千元或</w:t>
            </w:r>
            <w:r>
              <w:rPr>
                <w:rFonts w:ascii="宋体" w:hAnsi="宋体" w:eastAsia="宋体" w:cs="宋体"/>
                <w:kern w:val="0"/>
                <w:sz w:val="18"/>
                <w:szCs w:val="24"/>
                <w:lang w:val="en-US" w:eastAsia="zh-CN" w:bidi="ar-SA"/>
              </w:rPr>
              <w:t>1</w:t>
            </w:r>
            <w:r>
              <w:rPr>
                <w:rFonts w:hint="eastAsia" w:ascii="宋体" w:hAnsi="宋体" w:eastAsia="宋体" w:cs="宋体"/>
                <w:kern w:val="0"/>
                <w:sz w:val="18"/>
                <w:szCs w:val="24"/>
                <w:lang w:val="en-US" w:eastAsia="zh-CN" w:bidi="ar-SA"/>
              </w:rPr>
              <w:t>千元的整数倍。</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认购（申购）期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Hans" w:bidi="ar-SA"/>
              </w:rPr>
              <w:t>2023年9月30日至2023年10月8日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adjustRightInd w:val="0"/>
              <w:snapToGrid w:val="0"/>
              <w:spacing w:line="288" w:lineRule="auto"/>
              <w:jc w:val="center"/>
              <w:rPr>
                <w:rFonts w:hint="eastAsia" w:ascii="Times New Roman" w:hAnsi="Times New Roman" w:eastAsia="宋体"/>
                <w:sz w:val="18"/>
                <w:szCs w:val="18"/>
              </w:rPr>
            </w:pPr>
            <w:r>
              <w:rPr>
                <w:rFonts w:ascii="宋体" w:hAnsi="宋体" w:eastAsia="宋体"/>
                <w:sz w:val="18"/>
                <w:szCs w:val="20"/>
              </w:rPr>
              <w:t>投资</w:t>
            </w:r>
            <w:r>
              <w:rPr>
                <w:rFonts w:hint="eastAsia" w:ascii="宋体" w:hAnsi="宋体" w:eastAsia="宋体"/>
                <w:sz w:val="18"/>
                <w:szCs w:val="20"/>
              </w:rPr>
              <w:t>运作</w:t>
            </w:r>
            <w:r>
              <w:rPr>
                <w:rFonts w:ascii="宋体" w:hAnsi="宋体" w:eastAsia="宋体"/>
                <w:sz w:val="18"/>
                <w:szCs w:val="20"/>
              </w:rPr>
              <w:t>周期起始日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u w:val="single"/>
                <w:lang w:val="en-US" w:eastAsia="zh-Hans" w:bidi="ar-SA"/>
              </w:rPr>
              <w:t>2023年10月9日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投资运作周期期限</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宋体"/>
                <w:kern w:val="0"/>
                <w:sz w:val="18"/>
                <w:szCs w:val="18"/>
                <w:lang w:val="en-US" w:eastAsia="zh-Hans" w:bidi="ar-SA"/>
              </w:rPr>
            </w:pPr>
            <w:r>
              <w:rPr>
                <w:rFonts w:hint="eastAsia" w:ascii="宋体" w:hAnsi="宋体" w:eastAsia="宋体" w:cs="宋体"/>
                <w:color w:val="000000"/>
                <w:kern w:val="0"/>
                <w:sz w:val="18"/>
                <w:szCs w:val="18"/>
                <w:lang w:val="en-US" w:eastAsia="zh-Hans" w:bidi="ar-SA"/>
              </w:rPr>
              <w:t>1087天</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本投资周期分红日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u w:val="single"/>
                <w:lang w:eastAsia="zh-Hans" w:bidi="ar-SA"/>
              </w:rPr>
            </w:pPr>
            <w:r>
              <w:rPr>
                <w:rFonts w:hint="eastAsia" w:ascii="宋体" w:hAnsi="宋体" w:eastAsia="宋体" w:cs="Times New Roman"/>
                <w:color w:val="000000"/>
                <w:kern w:val="0"/>
                <w:sz w:val="18"/>
                <w:szCs w:val="18"/>
                <w:u w:val="single"/>
                <w:lang w:val="en-US" w:eastAsia="zh-Hans" w:bidi="ar-SA"/>
              </w:rPr>
              <w:t>2024年10月9日</w:t>
            </w:r>
          </w:p>
          <w:p>
            <w:pPr>
              <w:widowControl/>
              <w:adjustRightInd w:val="0"/>
              <w:snapToGrid w:val="0"/>
              <w:spacing w:before="0" w:beforeLines="0" w:beforeAutospacing="0" w:after="0" w:afterLines="0" w:afterAutospacing="0" w:line="288" w:lineRule="auto"/>
              <w:jc w:val="center"/>
              <w:rPr>
                <w:rFonts w:hint="default" w:ascii="宋体" w:hAnsi="宋体" w:eastAsia="宋体" w:cs="Times New Roman"/>
                <w:kern w:val="0"/>
                <w:sz w:val="18"/>
                <w:szCs w:val="18"/>
                <w:lang w:eastAsia="zh-Hans" w:bidi="ar-SA"/>
              </w:rPr>
            </w:pPr>
            <w:r>
              <w:rPr>
                <w:rFonts w:hint="eastAsia" w:ascii="宋体" w:hAnsi="宋体" w:eastAsia="宋体" w:cs="Times New Roman"/>
                <w:color w:val="000000"/>
                <w:kern w:val="0"/>
                <w:sz w:val="18"/>
                <w:szCs w:val="18"/>
                <w:u w:val="single"/>
                <w:lang w:val="en-US" w:eastAsia="zh-Hans" w:bidi="ar-SA"/>
              </w:rPr>
              <w:t>2025年10月8日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赎回期</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Hans" w:bidi="ar-SA"/>
              </w:rPr>
            </w:pPr>
            <w:r>
              <w:rPr>
                <w:rFonts w:hint="eastAsia" w:ascii="宋体" w:hAnsi="宋体" w:eastAsia="宋体" w:cs="Times New Roman"/>
                <w:color w:val="000000"/>
                <w:kern w:val="0"/>
                <w:sz w:val="18"/>
                <w:szCs w:val="18"/>
                <w:u w:val="single"/>
                <w:lang w:val="en-US" w:eastAsia="zh-CN" w:bidi="ar-SA"/>
              </w:rPr>
              <w:t>2026年9月23日</w:t>
            </w:r>
            <w:r>
              <w:rPr>
                <w:rFonts w:hint="eastAsia" w:ascii="宋体" w:hAnsi="宋体" w:eastAsia="宋体" w:cs="Times New Roman"/>
                <w:color w:val="000000"/>
                <w:kern w:val="0"/>
                <w:sz w:val="18"/>
                <w:szCs w:val="18"/>
                <w:u w:val="single"/>
                <w:lang w:val="en-US" w:eastAsia="zh-Hans" w:bidi="ar-SA"/>
              </w:rPr>
              <w:t>至2026年9月29日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宋体"/>
                <w:kern w:val="0"/>
                <w:sz w:val="18"/>
                <w:szCs w:val="24"/>
                <w:lang w:val="en-US" w:eastAsia="zh-CN" w:bidi="ar-SA"/>
              </w:rPr>
            </w:pPr>
            <w:r>
              <w:rPr>
                <w:rFonts w:ascii="宋体" w:hAnsi="宋体" w:eastAsia="宋体" w:cs="宋体"/>
                <w:kern w:val="0"/>
                <w:sz w:val="18"/>
                <w:szCs w:val="24"/>
                <w:lang w:val="en-US" w:eastAsia="zh-CN" w:bidi="ar-SA"/>
              </w:rPr>
              <w:t>投资</w:t>
            </w:r>
            <w:r>
              <w:rPr>
                <w:rFonts w:hint="eastAsia" w:ascii="宋体" w:hAnsi="宋体" w:eastAsia="宋体" w:cs="宋体"/>
                <w:kern w:val="0"/>
                <w:sz w:val="18"/>
                <w:szCs w:val="24"/>
                <w:lang w:val="en-US" w:eastAsia="zh-CN" w:bidi="ar-SA"/>
              </w:rPr>
              <w:t>运作</w:t>
            </w:r>
            <w:r>
              <w:rPr>
                <w:rFonts w:ascii="宋体" w:hAnsi="宋体" w:eastAsia="宋体" w:cs="宋体"/>
                <w:kern w:val="0"/>
                <w:sz w:val="18"/>
                <w:szCs w:val="24"/>
                <w:lang w:val="en-US" w:eastAsia="zh-CN" w:bidi="ar-SA"/>
              </w:rPr>
              <w:t>周期</w:t>
            </w:r>
            <w:r>
              <w:rPr>
                <w:rFonts w:hint="eastAsia" w:ascii="宋体" w:hAnsi="宋体" w:eastAsia="宋体" w:cs="宋体"/>
                <w:kern w:val="0"/>
                <w:sz w:val="18"/>
                <w:szCs w:val="24"/>
                <w:lang w:val="en-US" w:eastAsia="zh-CN" w:bidi="ar-SA"/>
              </w:rPr>
              <w:t>终止</w:t>
            </w:r>
            <w:r>
              <w:rPr>
                <w:rFonts w:ascii="宋体" w:hAnsi="宋体" w:eastAsia="宋体" w:cs="宋体"/>
                <w:kern w:val="0"/>
                <w:sz w:val="18"/>
                <w:szCs w:val="24"/>
                <w:lang w:val="en-US" w:eastAsia="zh-CN" w:bidi="ar-SA"/>
              </w:rPr>
              <w:t>日</w:t>
            </w:r>
          </w:p>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宋体"/>
                <w:kern w:val="0"/>
                <w:sz w:val="18"/>
                <w:szCs w:val="24"/>
                <w:lang w:val="en-US" w:eastAsia="zh-CN" w:bidi="ar-SA"/>
              </w:rPr>
              <w:t>（赎回清算日）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宋体"/>
                <w:kern w:val="0"/>
                <w:sz w:val="18"/>
                <w:szCs w:val="18"/>
                <w:lang w:val="en-US" w:eastAsia="zh-CN" w:bidi="ar-SA"/>
              </w:rPr>
            </w:pPr>
            <w:r>
              <w:rPr>
                <w:rFonts w:hint="eastAsia" w:ascii="宋体" w:hAnsi="宋体" w:eastAsia="宋体" w:cs="宋体"/>
                <w:color w:val="000000"/>
                <w:kern w:val="0"/>
                <w:sz w:val="18"/>
                <w:szCs w:val="18"/>
                <w:u w:val="single"/>
                <w:lang w:val="en-US" w:eastAsia="zh-CN" w:bidi="ar-SA"/>
              </w:rPr>
              <w:t>2026年9月30日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提前终止权</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hint="eastAsia" w:ascii="宋体" w:hAnsi="宋体" w:eastAsia="宋体" w:cs="Times New Roman"/>
                <w:b/>
                <w:kern w:val="0"/>
                <w:sz w:val="18"/>
                <w:szCs w:val="18"/>
                <w:lang w:val="en-US" w:eastAsia="zh-CN" w:bidi="ar-SA"/>
              </w:rPr>
            </w:pPr>
            <w:r>
              <w:rPr>
                <w:rFonts w:hint="eastAsia" w:ascii="宋体" w:hAnsi="宋体" w:eastAsia="宋体" w:cs="Times New Roman"/>
                <w:b/>
                <w:kern w:val="0"/>
                <w:sz w:val="18"/>
                <w:szCs w:val="18"/>
                <w:lang w:val="en-US" w:eastAsia="zh-CN" w:bidi="ar-SA"/>
              </w:rPr>
              <w:t>客户无提前终止权。如遇国家金融政策出现重大调整并影响到本产品的正常运行或温州银行有合理理由认为将影响本理财计划正常运作的其他情形时，银行有权但无义务提前终止本产品。</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工作日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国家法定工作日</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其他规定</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理财本金在理财计划成立日/投资周期起始日前交存于温州银行的，按当时实行的活期利率计息。赎回清算日到理财资金返还到账日为还本清算期，还本清算期内不计付利息和收益。</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45" w:type="dxa"/>
            <w:left w:w="45" w:type="dxa"/>
            <w:bottom w:w="45" w:type="dxa"/>
            <w:right w:w="45" w:type="dxa"/>
          </w:tblCellMar>
        </w:tblPrEx>
        <w:trPr>
          <w:trHeight w:val="72" w:hRule="atLeast"/>
          <w:jc w:val="center"/>
        </w:trPr>
        <w:tc>
          <w:tcPr>
            <w:tcW w:w="2102" w:type="dxa"/>
            <w:tcBorders>
              <w:top w:val="single" w:color="auto" w:sz="4" w:space="0"/>
              <w:left w:val="single" w:color="auto" w:sz="4" w:space="0"/>
              <w:bottom w:val="single" w:color="auto" w:sz="4" w:space="0"/>
              <w:right w:val="single" w:color="auto" w:sz="4" w:space="0"/>
            </w:tcBorders>
            <w:noWrap w:val="0"/>
            <w:vAlign w:val="center"/>
          </w:tcPr>
          <w:p>
            <w:pPr>
              <w:widowControl/>
              <w:adjustRightInd w:val="0"/>
              <w:snapToGrid w:val="0"/>
              <w:spacing w:before="0" w:beforeLines="0" w:beforeAutospacing="0" w:after="0" w:afterLines="0" w:afterAutospacing="0" w:line="288" w:lineRule="auto"/>
              <w:jc w:val="center"/>
              <w:rPr>
                <w:rFonts w:hint="eastAsia" w:ascii="宋体" w:hAnsi="宋体" w:eastAsia="宋体" w:cs="Times New Roman"/>
                <w:kern w:val="0"/>
                <w:sz w:val="18"/>
                <w:szCs w:val="18"/>
                <w:lang w:val="en-US" w:eastAsia="zh-CN" w:bidi="ar-SA"/>
              </w:rPr>
            </w:pPr>
            <w:r>
              <w:rPr>
                <w:rFonts w:hint="eastAsia" w:ascii="宋体" w:hAnsi="宋体" w:eastAsia="宋体" w:cs="Times New Roman"/>
                <w:kern w:val="0"/>
                <w:sz w:val="18"/>
                <w:szCs w:val="18"/>
                <w:lang w:val="en-US" w:eastAsia="zh-CN" w:bidi="ar-SA"/>
              </w:rPr>
              <w:t>客户须知</w:t>
            </w:r>
          </w:p>
        </w:tc>
        <w:tc>
          <w:tcPr>
            <w:tcW w:w="7315" w:type="dxa"/>
            <w:tcBorders>
              <w:top w:val="single" w:color="auto" w:sz="4" w:space="0"/>
              <w:left w:val="single" w:color="auto" w:sz="4" w:space="0"/>
              <w:bottom w:val="single" w:color="auto" w:sz="4" w:space="0"/>
              <w:right w:val="single" w:color="auto" w:sz="4" w:space="0"/>
            </w:tcBorders>
            <w:noWrap w:val="0"/>
            <w:vAlign w:val="center"/>
          </w:tcPr>
          <w:p>
            <w:pPr>
              <w:autoSpaceDN w:val="0"/>
              <w:snapToGrid w:val="0"/>
              <w:jc w:val="left"/>
              <w:rPr>
                <w:rFonts w:hint="eastAsia" w:ascii="宋体" w:hAnsi="宋体" w:eastAsia="宋体"/>
                <w:sz w:val="18"/>
                <w:szCs w:val="20"/>
              </w:rPr>
            </w:pPr>
            <w:r>
              <w:rPr>
                <w:rFonts w:hint="eastAsia" w:ascii="宋体" w:hAnsi="宋体" w:eastAsia="宋体"/>
                <w:sz w:val="18"/>
                <w:szCs w:val="20"/>
              </w:rPr>
              <w:t xml:space="preserve">   </w:t>
            </w:r>
          </w:p>
          <w:p>
            <w:pPr>
              <w:autoSpaceDN w:val="0"/>
              <w:snapToGrid w:val="0"/>
              <w:jc w:val="left"/>
              <w:rPr>
                <w:rFonts w:ascii="宋体" w:hAnsi="宋体" w:eastAsia="宋体"/>
                <w:sz w:val="18"/>
                <w:szCs w:val="20"/>
              </w:rPr>
            </w:pPr>
            <w:r>
              <w:rPr>
                <w:rFonts w:hint="eastAsia" w:ascii="宋体" w:hAnsi="宋体" w:eastAsia="宋体"/>
                <w:sz w:val="18"/>
                <w:szCs w:val="20"/>
              </w:rPr>
              <w:t xml:space="preserve">    </w:t>
            </w:r>
            <w:r>
              <w:rPr>
                <w:rFonts w:ascii="宋体" w:hAnsi="宋体" w:eastAsia="宋体"/>
                <w:sz w:val="18"/>
                <w:szCs w:val="20"/>
              </w:rPr>
              <w:t>本人已认真阅读并充分理解</w:t>
            </w:r>
            <w:r>
              <w:rPr>
                <w:rFonts w:hint="eastAsia" w:ascii="宋体" w:hAnsi="宋体" w:eastAsia="宋体"/>
                <w:sz w:val="18"/>
                <w:szCs w:val="20"/>
              </w:rPr>
              <w:t>《</w:t>
            </w:r>
            <w:r>
              <w:rPr>
                <w:rFonts w:hint="eastAsia" w:ascii="宋体" w:hAnsi="宋体" w:eastAsia="宋体"/>
                <w:sz w:val="18"/>
                <w:szCs w:val="20"/>
                <w:lang w:val="en-US" w:eastAsia="zh-Hans"/>
              </w:rPr>
              <w:t>温州银行</w:t>
            </w:r>
            <w:r>
              <w:rPr>
                <w:rFonts w:hint="eastAsia" w:ascii="宋体" w:hAnsi="宋体" w:eastAsia="宋体"/>
                <w:color w:val="000000"/>
                <w:sz w:val="18"/>
                <w:szCs w:val="20"/>
              </w:rPr>
              <w:t>“金鹿理财-普惠颐养”20019号开放式净值型银行理财计划风险揭示书》、《温州银行“金鹿理财-普惠颐养”20019号开放式净值型银行理财计划产品说明书》、《温州银行“金鹿理财-普惠颐养”20019号开放式净值型（第</w:t>
            </w:r>
            <w:r>
              <w:rPr>
                <w:rFonts w:hint="eastAsia" w:ascii="宋体" w:hAnsi="宋体" w:eastAsia="宋体"/>
                <w:color w:val="000000"/>
                <w:sz w:val="18"/>
                <w:szCs w:val="20"/>
                <w:lang w:val="en-US" w:eastAsia="zh-Hans"/>
              </w:rPr>
              <w:t>2</w:t>
            </w:r>
            <w:r>
              <w:rPr>
                <w:rFonts w:hint="eastAsia" w:ascii="宋体" w:hAnsi="宋体" w:eastAsia="宋体"/>
                <w:color w:val="000000"/>
                <w:sz w:val="18"/>
                <w:szCs w:val="20"/>
              </w:rPr>
              <w:t>期1087天）银行理财计划开放认购（申购）申请书》和《</w:t>
            </w:r>
            <w:r>
              <w:rPr>
                <w:rFonts w:ascii="宋体" w:hAnsi="宋体" w:eastAsia="宋体"/>
                <w:sz w:val="18"/>
                <w:szCs w:val="20"/>
              </w:rPr>
              <w:t>温州银行理财产品投资者权益须知</w:t>
            </w:r>
            <w:r>
              <w:rPr>
                <w:rFonts w:hint="eastAsia" w:ascii="宋体" w:hAnsi="宋体" w:eastAsia="宋体"/>
                <w:sz w:val="18"/>
                <w:szCs w:val="20"/>
              </w:rPr>
              <w:t>》</w:t>
            </w:r>
            <w:r>
              <w:rPr>
                <w:rFonts w:ascii="宋体" w:hAnsi="宋体" w:eastAsia="宋体"/>
                <w:sz w:val="18"/>
                <w:szCs w:val="20"/>
              </w:rPr>
              <w:t>关于投资理财产品及其全部风险的有关内容，同意本次认购</w:t>
            </w:r>
            <w:r>
              <w:rPr>
                <w:rFonts w:hint="eastAsia" w:ascii="宋体" w:hAnsi="宋体" w:eastAsia="宋体"/>
                <w:sz w:val="18"/>
                <w:szCs w:val="20"/>
              </w:rPr>
              <w:t>（申购）</w:t>
            </w:r>
            <w:r>
              <w:rPr>
                <w:rFonts w:ascii="宋体" w:hAnsi="宋体" w:eastAsia="宋体"/>
                <w:sz w:val="18"/>
                <w:szCs w:val="20"/>
              </w:rPr>
              <w:t>受上述</w:t>
            </w:r>
            <w:r>
              <w:rPr>
                <w:rFonts w:hint="eastAsia" w:ascii="宋体" w:hAnsi="宋体" w:eastAsia="宋体"/>
                <w:sz w:val="18"/>
                <w:szCs w:val="20"/>
              </w:rPr>
              <w:t>材料中条款</w:t>
            </w:r>
            <w:r>
              <w:rPr>
                <w:rFonts w:ascii="宋体" w:hAnsi="宋体" w:eastAsia="宋体"/>
                <w:sz w:val="18"/>
                <w:szCs w:val="20"/>
              </w:rPr>
              <w:t>约束。本人明确理解本理财产品为委托代理性质，同意接受本理财产品的投资</w:t>
            </w:r>
            <w:r>
              <w:rPr>
                <w:rFonts w:hint="eastAsia" w:ascii="宋体" w:hAnsi="宋体" w:eastAsia="宋体"/>
                <w:sz w:val="18"/>
                <w:szCs w:val="20"/>
              </w:rPr>
              <w:t>管理</w:t>
            </w:r>
            <w:r>
              <w:rPr>
                <w:rFonts w:ascii="宋体" w:hAnsi="宋体" w:eastAsia="宋体"/>
                <w:sz w:val="18"/>
                <w:szCs w:val="20"/>
              </w:rPr>
              <w:t>、收益、</w:t>
            </w:r>
            <w:r>
              <w:rPr>
                <w:rFonts w:hint="eastAsia" w:ascii="宋体" w:hAnsi="宋体" w:eastAsia="宋体"/>
                <w:sz w:val="18"/>
                <w:szCs w:val="20"/>
              </w:rPr>
              <w:t>净值、</w:t>
            </w:r>
            <w:r>
              <w:rPr>
                <w:rFonts w:ascii="宋体" w:hAnsi="宋体" w:eastAsia="宋体"/>
                <w:sz w:val="18"/>
                <w:szCs w:val="20"/>
              </w:rPr>
              <w:t>费率、认购</w:t>
            </w:r>
            <w:r>
              <w:rPr>
                <w:rFonts w:hint="eastAsia" w:ascii="宋体" w:hAnsi="宋体" w:eastAsia="宋体"/>
                <w:sz w:val="18"/>
                <w:szCs w:val="20"/>
              </w:rPr>
              <w:t>（申购）、赎回</w:t>
            </w:r>
            <w:r>
              <w:rPr>
                <w:rFonts w:ascii="宋体" w:hAnsi="宋体" w:eastAsia="宋体"/>
                <w:sz w:val="18"/>
                <w:szCs w:val="20"/>
              </w:rPr>
              <w:t>安排与上述文件所做</w:t>
            </w:r>
            <w:r>
              <w:rPr>
                <w:rFonts w:hint="eastAsia" w:ascii="宋体" w:hAnsi="宋体" w:eastAsia="宋体"/>
                <w:sz w:val="18"/>
                <w:szCs w:val="20"/>
              </w:rPr>
              <w:t>的</w:t>
            </w:r>
            <w:r>
              <w:rPr>
                <w:rFonts w:ascii="宋体" w:hAnsi="宋体" w:eastAsia="宋体"/>
                <w:sz w:val="18"/>
                <w:szCs w:val="20"/>
              </w:rPr>
              <w:t>风险提示，愿意承担投资风险，现决定认购</w:t>
            </w:r>
            <w:r>
              <w:rPr>
                <w:rFonts w:hint="eastAsia" w:ascii="宋体" w:hAnsi="宋体" w:eastAsia="宋体"/>
                <w:sz w:val="18"/>
                <w:szCs w:val="20"/>
              </w:rPr>
              <w:t>（申购）</w:t>
            </w:r>
            <w:r>
              <w:rPr>
                <w:rFonts w:ascii="宋体" w:hAnsi="宋体" w:eastAsia="宋体"/>
                <w:sz w:val="18"/>
                <w:szCs w:val="20"/>
              </w:rPr>
              <w:t>，并授权你行根据投资</w:t>
            </w:r>
            <w:r>
              <w:rPr>
                <w:rFonts w:hint="eastAsia" w:ascii="宋体" w:hAnsi="宋体" w:eastAsia="宋体"/>
                <w:sz w:val="18"/>
                <w:szCs w:val="20"/>
              </w:rPr>
              <w:t>管理</w:t>
            </w:r>
            <w:r>
              <w:rPr>
                <w:rFonts w:ascii="宋体" w:hAnsi="宋体" w:eastAsia="宋体"/>
                <w:sz w:val="18"/>
                <w:szCs w:val="20"/>
              </w:rPr>
              <w:t>方案进行投资。</w:t>
            </w:r>
          </w:p>
          <w:p>
            <w:pPr>
              <w:spacing w:before="312" w:beforeLines="100" w:line="281" w:lineRule="auto"/>
              <w:rPr>
                <w:rFonts w:hint="eastAsia" w:ascii="宋体" w:hAnsi="宋体" w:eastAsia="宋体"/>
                <w:szCs w:val="21"/>
              </w:rPr>
            </w:pPr>
            <w:r>
              <w:rPr>
                <w:rFonts w:hint="eastAsia" w:ascii="宋体" w:hAnsi="宋体" w:eastAsia="宋体"/>
                <w:szCs w:val="21"/>
              </w:rPr>
              <w:t xml:space="preserve"> 投资者签章：                                 日期：</w:t>
            </w:r>
          </w:p>
          <w:p>
            <w:pPr>
              <w:widowControl/>
              <w:adjustRightInd w:val="0"/>
              <w:snapToGrid w:val="0"/>
              <w:spacing w:before="0" w:beforeLines="0" w:beforeAutospacing="0" w:after="0" w:afterLines="0" w:afterAutospacing="0" w:line="288" w:lineRule="auto"/>
              <w:jc w:val="left"/>
              <w:rPr>
                <w:rFonts w:ascii="宋体" w:hAnsi="宋体" w:eastAsia="宋体" w:cs="Times New Roman"/>
                <w:kern w:val="0"/>
                <w:sz w:val="18"/>
                <w:szCs w:val="18"/>
                <w:lang w:val="en-US" w:eastAsia="zh-CN" w:bidi="ar-SA"/>
              </w:rPr>
            </w:pPr>
          </w:p>
        </w:tc>
      </w:tr>
    </w:tbl>
    <w:p>
      <w:pPr>
        <w:rPr>
          <w:rFonts w:ascii="Times New Roman" w:hAnsi="Times New Roman" w:eastAsia="宋体"/>
          <w:szCs w:val="20"/>
        </w:rPr>
      </w:pPr>
    </w:p>
    <w:p>
      <w:pPr>
        <w:jc w:val="left"/>
      </w:pPr>
    </w:p>
    <w:p>
      <w:pPr>
        <w:jc w:val="left"/>
      </w:pPr>
    </w:p>
    <w:sectPr>
      <w:footerReference r:id="rId3" w:type="default"/>
      <w:pgSz w:w="11906" w:h="16838"/>
      <w:pgMar w:top="1247" w:right="1361" w:bottom="1247" w:left="1361" w:header="851" w:footer="992" w:gutter="0"/>
      <w:cols w:space="720" w:num="1"/>
      <w:docGrid w:type="lines"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00"/>
    <w:family w:val="roman"/>
    <w:pitch w:val="variable"/>
    <w:sig w:usb0="20007A87" w:usb1="80000000" w:usb2="00000008" w:usb3="00000000" w:csb0="000001FF" w:csb1="00000000"/>
  </w:font>
  <w:font w:name="宋体">
    <w:panose1 w:val="02010600030101010101"/>
    <w:charset w:val="86"/>
    <w:family w:val="auto"/>
    <w:pitch w:val="default"/>
    <w:sig w:usb0="000000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0002EFF" w:usb1="C000247B" w:usb2="00000009" w:usb3="00000000" w:csb0="200001FF" w:csb1="00000000"/>
  </w:font>
  <w:font w:name="等线">
    <w:panose1 w:val="02010600030101010101"/>
    <w:charset w:val="86"/>
    <w:family w:val="auto"/>
    <w:pitch w:val="default"/>
    <w:sig w:usb0="A00002BF" w:usb1="38CF7CFA" w:usb2="00000016" w:usb3="00000000" w:csb0="0004000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2"/>
      <w:jc w:val="center"/>
    </w:pPr>
    <w:r>
      <w:rPr>
        <w:lang w:val="zh-CN"/>
      </w:rPr>
      <w:t xml:space="preserve"> </w:t>
    </w:r>
    <w:r>
      <w:rPr>
        <w:b/>
        <w:sz w:val="24"/>
        <w:szCs w:val="24"/>
      </w:rPr>
      <w:fldChar w:fldCharType="begin"/>
    </w:r>
    <w:r>
      <w:rPr>
        <w:b/>
      </w:rPr>
      <w:instrText xml:space="preserve">PAGE</w:instrText>
    </w:r>
    <w:r>
      <w:rPr>
        <w:b/>
        <w:sz w:val="24"/>
        <w:szCs w:val="24"/>
      </w:rPr>
      <w:fldChar w:fldCharType="separate"/>
    </w:r>
    <w:r>
      <w:rPr>
        <w:b/>
      </w:rPr>
      <w:t>1</w:t>
    </w:r>
    <w:r>
      <w:rPr>
        <w:b/>
        <w:sz w:val="24"/>
        <w:szCs w:val="24"/>
      </w:rPr>
      <w:fldChar w:fldCharType="end"/>
    </w:r>
    <w:r>
      <w:rPr>
        <w:lang w:val="zh-CN"/>
      </w:rPr>
      <w:t xml:space="preserve"> / </w:t>
    </w:r>
    <w:r>
      <w:rPr>
        <w:b/>
        <w:sz w:val="24"/>
        <w:szCs w:val="24"/>
      </w:rPr>
      <w:fldChar w:fldCharType="begin"/>
    </w:r>
    <w:r>
      <w:rPr>
        <w:b/>
      </w:rPr>
      <w:instrText xml:space="preserve">NUMPAGES</w:instrText>
    </w:r>
    <w:r>
      <w:rPr>
        <w:b/>
        <w:sz w:val="24"/>
        <w:szCs w:val="24"/>
      </w:rPr>
      <w:fldChar w:fldCharType="separate"/>
    </w:r>
    <w:r>
      <w:rPr>
        <w:b/>
      </w:rPr>
      <w:t>1</w:t>
    </w:r>
    <w:r>
      <w:rPr>
        <w:b/>
        <w:sz w:val="24"/>
        <w:szCs w:val="24"/>
      </w:rPr>
      <w:fldChar w:fldCharType="end"/>
    </w:r>
  </w:p>
  <w:p>
    <w:pPr>
      <w:pStyle w:val="2"/>
    </w:pPr>
  </w:p>
</w:ftr>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00"/>
  <w:doNotDisplayPageBoundaries w:val="1"/>
  <w:bordersDoNotSurroundHeader w:val="1"/>
  <w:bordersDoNotSurroundFooter w:val="1"/>
  <w:documentProtection w:edit="readOnly" w:enforcement="1" w:cryptProviderType="rsaFull" w:cryptAlgorithmClass="hash" w:cryptAlgorithmType="typeAny" w:cryptAlgorithmSid="4" w:cryptSpinCount="0" w:hash="Jlv7vlmc/d4jJbqW4nVDdNsnbvU=" w:salt="G8ghedwbBvljHf69q5PxZQ=="/>
  <w:defaultTabStop w:val="420"/>
  <w:drawingGridHorizontalSpacing w:val="105"/>
  <w:drawingGridVerticalSpacing w:val="156"/>
  <w:displayHorizontalDrawingGridEvery w:val="0"/>
  <w:displayVerticalDrawingGridEvery w:val="2"/>
  <w:characterSpacingControl w:val="compressPunctuation"/>
  <w:compat>
    <w:spaceForUL/>
    <w:balanceSingleByteDoubleByteWidth/>
    <w:doNotLeaveBackslashAlone/>
    <w:ulTrailSpace/>
    <w:doNotExpandShiftReturn/>
    <w:adjustLineHeightInTable/>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6C178D"/>
    <w:rsid w:val="00107E6F"/>
    <w:rsid w:val="001F45FA"/>
    <w:rsid w:val="00216859"/>
    <w:rsid w:val="0037444F"/>
    <w:rsid w:val="003C4F1E"/>
    <w:rsid w:val="004048F3"/>
    <w:rsid w:val="00573DF2"/>
    <w:rsid w:val="006231F7"/>
    <w:rsid w:val="006C178D"/>
    <w:rsid w:val="00727ECA"/>
    <w:rsid w:val="007E3EE5"/>
    <w:rsid w:val="007E483C"/>
    <w:rsid w:val="009B5133"/>
    <w:rsid w:val="00BB77D3"/>
    <w:rsid w:val="00BF5A7D"/>
    <w:rsid w:val="00C00D5A"/>
    <w:rsid w:val="00E36316"/>
    <w:rsid w:val="00E41ADC"/>
    <w:rsid w:val="00E850D0"/>
    <w:rsid w:val="3BEF0754"/>
    <w:rsid w:val="511E88BC"/>
    <w:rsid w:val="5AA6391E"/>
    <w:rsid w:val="7F7EC3B3"/>
    <w:rsid w:val="BBDDF786"/>
    <w:rsid w:val="E7EC35E9"/>
    <w:rsid w:val="EAFE2858"/>
  </w:rsids>
  <m:mathPr>
    <m:mathFont m:val="Cambria Math"/>
    <m:brkBin m:val="before"/>
    <m:brkBinSub m:val="--"/>
    <m:smallFrac m:val="0"/>
    <m:dispDef/>
    <m:lMargin m:val="0"/>
    <m:rMargin m:val="0"/>
    <m:defJc m:val="centerGroup"/>
    <m:wrapIndent m:val="1440"/>
    <m:intLim m:val="subSup"/>
    <m:naryLim m:val="undOvr"/>
  </m:mathPr>
  <w:themeFontLang w:val="en-US" w:eastAsia="zh-CN"/>
  <w:clrSchemeMapping w:bg1="light1" w:t1="dark1" w:bg2="light2" w:t2="dark2" w:accent1="accent1" w:accent2="accent2" w:accent3="accent3" w:accent4="accent4" w:accent5="accent5" w:accent6="accent6" w:hyperlink="hyperlink" w:followedHyperlink="followedHyperlink"/>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等线" w:hAnsi="等线" w:eastAsia="等线"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9" w:semiHidden="0" w:name="heading 1"/>
    <w:lsdException w:qFormat="1" w:uiPriority="9" w:name="heading 2"/>
    <w:lsdException w:qFormat="1" w:uiPriority="9" w:name="heading 3"/>
    <w:lsdException w:qFormat="1" w:uiPriority="9" w:name="heading 4"/>
    <w:lsdException w:qFormat="1" w:uiPriority="9" w:name="heading 5"/>
    <w:lsdException w:qFormat="1" w:uiPriority="9" w:name="heading 6"/>
    <w:lsdException w:qFormat="1" w:uiPriority="9" w:name="heading 7"/>
    <w:lsdException w:qFormat="1" w:uiPriority="9" w:name="heading 8"/>
    <w:lsdException w:qFormat="1" w:uiPriority="9" w:name="heading 9"/>
    <w:lsdException w:uiPriority="99" w:name="index 1"/>
    <w:lsdException w:uiPriority="99" w:name="index 2"/>
    <w:lsdException w:uiPriority="99" w:name="index 3"/>
    <w:lsdException w:uiPriority="99" w:name="index 4"/>
    <w:lsdException w:uiPriority="99" w:name="index 5"/>
    <w:lsdException w:uiPriority="99" w:name="index 6"/>
    <w:lsdException w:uiPriority="99" w:name="index 7"/>
    <w:lsdException w:uiPriority="99" w:name="index 8"/>
    <w:lsdException w:uiPriority="99" w:name="index 9"/>
    <w:lsdException w:uiPriority="39" w:name="toc 1"/>
    <w:lsdException w:uiPriority="39" w:name="toc 2"/>
    <w:lsdException w:uiPriority="39" w:name="toc 3"/>
    <w:lsdException w:uiPriority="39" w:name="toc 4"/>
    <w:lsdException w:uiPriority="39" w:name="toc 5"/>
    <w:lsdException w:uiPriority="39" w:name="toc 6"/>
    <w:lsdException w:uiPriority="39" w:name="toc 7"/>
    <w:lsdException w:uiPriority="39" w:name="toc 8"/>
    <w:lsdException w:uiPriority="39" w:name="toc 9"/>
    <w:lsdException w:uiPriority="99" w:name="Normal Indent"/>
    <w:lsdException w:uiPriority="99" w:name="footnote text"/>
    <w:lsdException w:uiPriority="99" w:name="annotation text"/>
    <w:lsdException w:uiPriority="99" w:name="header"/>
    <w:lsdException w:qFormat="1" w:unhideWhenUsed="0" w:uiPriority="99" w:semiHidden="0" w:name="footer"/>
    <w:lsdException w:uiPriority="99" w:name="index heading"/>
    <w:lsdException w:qFormat="1" w:uiPriority="35" w:name="caption"/>
    <w:lsdException w:uiPriority="99" w:name="table of figures"/>
    <w:lsdException w:uiPriority="99" w:name="envelope address"/>
    <w:lsdException w:uiPriority="99" w:name="envelope return"/>
    <w:lsdException w:uiPriority="99" w:name="footnote reference"/>
    <w:lsdException w:uiPriority="99" w:name="annotation reference"/>
    <w:lsdException w:uiPriority="99" w:name="line number"/>
    <w:lsdException w:uiPriority="99" w:name="page number"/>
    <w:lsdException w:uiPriority="99" w:name="endnote reference"/>
    <w:lsdException w:uiPriority="99" w:name="endnote text"/>
    <w:lsdException w:uiPriority="99" w:name="table of authorities"/>
    <w:lsdException w:uiPriority="99" w:name="macro"/>
    <w:lsdException w:uiPriority="99" w:name="toa heading"/>
    <w:lsdException w:uiPriority="99" w:name="List"/>
    <w:lsdException w:uiPriority="99" w:name="List Bullet"/>
    <w:lsdException w:uiPriority="99" w:name="List Number"/>
    <w:lsdException w:uiPriority="99" w:name="List 2"/>
    <w:lsdException w:uiPriority="99" w:name="List 3"/>
    <w:lsdException w:uiPriority="99" w:name="List 4"/>
    <w:lsdException w:uiPriority="99" w:name="List 5"/>
    <w:lsdException w:uiPriority="99" w:name="List Bullet 2"/>
    <w:lsdException w:uiPriority="99" w:name="List Bullet 3"/>
    <w:lsdException w:uiPriority="99" w:name="List Bullet 4"/>
    <w:lsdException w:uiPriority="99" w:name="List Bullet 5"/>
    <w:lsdException w:uiPriority="99" w:name="List Number 2"/>
    <w:lsdException w:uiPriority="99" w:name="List Number 3"/>
    <w:lsdException w:uiPriority="99" w:name="List Number 4"/>
    <w:lsdException w:uiPriority="99" w:name="List Number 5"/>
    <w:lsdException w:qFormat="1" w:unhideWhenUsed="0" w:uiPriority="10" w:semiHidden="0" w:name="Title"/>
    <w:lsdException w:uiPriority="99" w:name="Closing"/>
    <w:lsdException w:uiPriority="99" w:name="Signature"/>
    <w:lsdException w:uiPriority="1" w:name="Default Paragraph Font"/>
    <w:lsdException w:uiPriority="99" w:name="Body Text"/>
    <w:lsdException w:uiPriority="99" w:name="Body Text Indent"/>
    <w:lsdException w:uiPriority="99" w:name="List Continue"/>
    <w:lsdException w:uiPriority="99" w:name="List Continue 2"/>
    <w:lsdException w:uiPriority="99" w:name="List Continue 3"/>
    <w:lsdException w:uiPriority="99" w:name="List Continue 4"/>
    <w:lsdException w:uiPriority="99" w:name="List Continue 5"/>
    <w:lsdException w:uiPriority="99" w:name="Message Header"/>
    <w:lsdException w:qFormat="1" w:unhideWhenUsed="0" w:uiPriority="11" w:semiHidden="0" w:name="Subtitle"/>
    <w:lsdException w:uiPriority="99" w:name="Salutation"/>
    <w:lsdException w:uiPriority="99" w:name="Date"/>
    <w:lsdException w:uiPriority="99" w:name="Body Text First Indent"/>
    <w:lsdException w:uiPriority="99" w:name="Body Text First Indent 2"/>
    <w:lsdException w:uiPriority="99" w:name="Note Heading"/>
    <w:lsdException w:uiPriority="99" w:name="Body Text 2"/>
    <w:lsdException w:uiPriority="99" w:name="Body Text 3"/>
    <w:lsdException w:uiPriority="99" w:name="Body Text Indent 2"/>
    <w:lsdException w:uiPriority="99" w:name="Body Text Indent 3"/>
    <w:lsdException w:uiPriority="99" w:name="Block Text"/>
    <w:lsdException w:uiPriority="99" w:name="Hyperlink"/>
    <w:lsdException w:uiPriority="99" w:name="FollowedHyperlink"/>
    <w:lsdException w:qFormat="1" w:unhideWhenUsed="0" w:uiPriority="22" w:semiHidden="0" w:name="Strong"/>
    <w:lsdException w:qFormat="1" w:unhideWhenUsed="0" w:uiPriority="20" w:semiHidden="0" w:name="Emphasis"/>
    <w:lsdException w:uiPriority="99" w:name="Document Map"/>
    <w:lsdException w:uiPriority="99" w:name="Plain Text"/>
    <w:lsdException w:uiPriority="99" w:name="E-mail Signature"/>
    <w:lsdException w:uiPriority="99" w:name="Normal (Web)"/>
    <w:lsdException w:uiPriority="99" w:name="HTML Acronym"/>
    <w:lsdException w:uiPriority="99" w:name="HTML Address"/>
    <w:lsdException w:uiPriority="99" w:name="HTML Cite"/>
    <w:lsdException w:uiPriority="99" w:name="HTML Code"/>
    <w:lsdException w:uiPriority="99" w:name="HTML Definition"/>
    <w:lsdException w:uiPriority="99" w:name="HTML Keyboard"/>
    <w:lsdException w:uiPriority="99" w:name="HTML Preformatted"/>
    <w:lsdException w:uiPriority="99" w:name="HTML Sample"/>
    <w:lsdException w:uiPriority="99" w:name="HTML Typewriter"/>
    <w:lsdException w:uiPriority="99" w:name="HTML Variable"/>
    <w:lsdException w:qFormat="1" w:uiPriority="99" w:name="Normal Table"/>
    <w:lsdException w:uiPriority="99" w:name="annotation subject"/>
    <w:lsdException w:uiPriority="99" w:name="Table Simple 1"/>
    <w:lsdException w:uiPriority="99" w:name="Table Simple 2"/>
    <w:lsdException w:uiPriority="99" w:name="Table Simple 3"/>
    <w:lsdException w:uiPriority="99" w:name="Table Classic 1"/>
    <w:lsdException w:uiPriority="99" w:name="Table Classic 2"/>
    <w:lsdException w:uiPriority="99" w:name="Table Classic 3"/>
    <w:lsdException w:uiPriority="99" w:name="Table Classic 4"/>
    <w:lsdException w:uiPriority="99" w:name="Table Colorful 1"/>
    <w:lsdException w:uiPriority="99" w:name="Table Colorful 2"/>
    <w:lsdException w:uiPriority="99" w:name="Table Colorful 3"/>
    <w:lsdException w:uiPriority="99" w:name="Table Columns 1"/>
    <w:lsdException w:uiPriority="99" w:name="Table Columns 2"/>
    <w:lsdException w:uiPriority="99" w:name="Table Columns 3"/>
    <w:lsdException w:uiPriority="99" w:name="Table Columns 4"/>
    <w:lsdException w:uiPriority="99" w:name="Table Columns 5"/>
    <w:lsdException w:uiPriority="99" w:name="Table Grid 1"/>
    <w:lsdException w:uiPriority="99" w:name="Table Grid 2"/>
    <w:lsdException w:uiPriority="99" w:name="Table Grid 3"/>
    <w:lsdException w:uiPriority="99" w:name="Table Grid 4"/>
    <w:lsdException w:uiPriority="99" w:name="Table Grid 5"/>
    <w:lsdException w:uiPriority="99" w:name="Table Grid 6"/>
    <w:lsdException w:uiPriority="99" w:name="Table Grid 7"/>
    <w:lsdException w:uiPriority="99" w:name="Table Grid 8"/>
    <w:lsdException w:uiPriority="99" w:name="Table List 1"/>
    <w:lsdException w:uiPriority="99" w:name="Table List 2"/>
    <w:lsdException w:uiPriority="99" w:name="Table List 3"/>
    <w:lsdException w:uiPriority="99" w:name="Table List 4"/>
    <w:lsdException w:uiPriority="99" w:name="Table List 5"/>
    <w:lsdException w:uiPriority="99" w:name="Table List 6"/>
    <w:lsdException w:uiPriority="99" w:name="Table List 7"/>
    <w:lsdException w:uiPriority="99" w:name="Table List 8"/>
    <w:lsdException w:uiPriority="99" w:name="Table 3D effects 1"/>
    <w:lsdException w:uiPriority="99" w:name="Table 3D effects 2"/>
    <w:lsdException w:uiPriority="99" w:name="Table 3D effects 3"/>
    <w:lsdException w:uiPriority="99" w:name="Table Contemporary"/>
    <w:lsdException w:uiPriority="99" w:name="Table Elegant"/>
    <w:lsdException w:uiPriority="99" w:name="Table Professional"/>
    <w:lsdException w:uiPriority="99" w:name="Table Subtle 1"/>
    <w:lsdException w:uiPriority="99" w:name="Table Subtle 2"/>
    <w:lsdException w:uiPriority="99" w:name="Table Web 1"/>
    <w:lsdException w:uiPriority="99" w:name="Table Web 2"/>
    <w:lsdException w:uiPriority="99" w:name="Table Web 3"/>
    <w:lsdException w:uiPriority="99" w:name="Balloon Text"/>
    <w:lsdException w:unhideWhenUsed="0" w:uiPriority="39" w:semiHidden="0" w:name="Table Grid"/>
    <w:lsdException w:uiPriority="99"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等线" w:hAnsi="等线" w:eastAsia="等线" w:cs="Times New Roman"/>
      <w:kern w:val="2"/>
      <w:sz w:val="21"/>
      <w:szCs w:val="22"/>
      <w:lang w:val="en-US" w:eastAsia="zh-CN" w:bidi="ar-SA"/>
    </w:rPr>
  </w:style>
  <w:style w:type="character" w:default="1" w:styleId="4">
    <w:name w:val="Default Paragraph Font"/>
    <w:semiHidden/>
    <w:unhideWhenUsed/>
    <w:uiPriority w:val="1"/>
  </w:style>
  <w:style w:type="table" w:default="1" w:styleId="3">
    <w:name w:val="Normal Table"/>
    <w:semiHidden/>
    <w:unhideWhenUsed/>
    <w:qFormat/>
    <w:uiPriority w:val="99"/>
    <w:tblPr>
      <w:tblCellMar>
        <w:top w:w="0" w:type="dxa"/>
        <w:left w:w="108" w:type="dxa"/>
        <w:bottom w:w="0" w:type="dxa"/>
        <w:right w:w="108" w:type="dxa"/>
      </w:tblCellMar>
    </w:tblPr>
  </w:style>
  <w:style w:type="paragraph" w:styleId="2">
    <w:name w:val="footer"/>
    <w:basedOn w:val="1"/>
    <w:qFormat/>
    <w:uiPriority w:val="99"/>
    <w:pPr>
      <w:tabs>
        <w:tab w:val="center" w:pos="4153"/>
        <w:tab w:val="right" w:pos="8306"/>
      </w:tabs>
      <w:snapToGrid w:val="0"/>
      <w:jc w:val="left"/>
    </w:pPr>
    <w:rPr>
      <w:sz w:val="18"/>
    </w:rPr>
  </w:style>
</w:styles>
</file>

<file path=word/_rels/document.xml.rels><?xml version="1.0" encoding="UTF-8" standalone="yes"?>
<Relationships xmlns="http://schemas.openxmlformats.org/package/2006/relationships"><Relationship Id="rId5" Type="http://schemas.openxmlformats.org/officeDocument/2006/relationships/fontTable" Target="fontTable.xml"/><Relationship Id="rId4" Type="http://schemas.openxmlformats.org/officeDocument/2006/relationships/theme" Target="theme/theme1.xml"/><Relationship Id="rId3" Type="http://schemas.openxmlformats.org/officeDocument/2006/relationships/footer" Target="foot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主题​​">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等线 Light"/>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等线"/>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Normal.dotm</Template>
  <Pages>2</Pages>
  <Words>199</Words>
  <Characters>1139</Characters>
  <Lines>9</Lines>
  <Paragraphs>2</Paragraphs>
  <TotalTime>1</TotalTime>
  <ScaleCrop>false</ScaleCrop>
  <LinksUpToDate>false</LinksUpToDate>
  <CharactersWithSpaces>1336</CharactersWithSpaces>
  <Application>WPS Office_11.8.2.12085_F1E327BC-269C-435d-A152-05C5408002CA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2023-04-23T02:01:00Z</dcterms:created>
  <dc:creator>Admin</dc:creator>
  <cp:lastModifiedBy>应心茹</cp:lastModifiedBy>
  <dcterms:modified xsi:type="dcterms:W3CDTF">2023-09-21T09:24:55Z</dcterms:modified>
  <cp:revision>3</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2052-11.8.2.12085</vt:lpwstr>
  </property>
  <property fmtid="{D5CDD505-2E9C-101B-9397-08002B2CF9AE}" pid="3" name="ICV">
    <vt:lpwstr>25583616BC744B882FE34564950C2AAA_42</vt:lpwstr>
  </property>
</Properties>
</file>