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default" w:ascii="黑体" w:eastAsia="黑体"/>
          <w:color w:val="000000"/>
          <w:sz w:val="30"/>
          <w:szCs w:val="30"/>
          <w:u w:val="single"/>
        </w:rPr>
        <w:t>20019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default"/>
          <w:color w:val="000000"/>
          <w:szCs w:val="21"/>
          <w:u w:val="single"/>
        </w:rPr>
        <w:t>20019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rFonts w:hint="default"/>
          <w:color w:val="000000"/>
          <w:szCs w:val="21"/>
        </w:rPr>
        <w:t>20019</w:t>
      </w:r>
      <w:r>
        <w:rPr>
          <w:rFonts w:hint="eastAsia"/>
          <w:szCs w:val="21"/>
        </w:rPr>
        <w:t>号开放式净值型（第i期）银行理财计划开放认购（申购）申请书》约定为准。根据温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rFonts w:hint="default"/>
          <w:color w:val="000000"/>
          <w:szCs w:val="21"/>
        </w:rPr>
        <w:t>20019</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rFonts w:hint="default"/>
          <w:color w:val="000000"/>
          <w:szCs w:val="21"/>
        </w:rPr>
        <w:t>20019</w:t>
      </w:r>
      <w:r>
        <w:rPr>
          <w:rFonts w:hint="eastAsia" w:ascii="宋体" w:hAnsi="宋体"/>
          <w:szCs w:val="21"/>
        </w:rPr>
        <w:t>号开放式净值型银行理财计划产品说明书》、《温州银行“金鹿理财-普惠颐养”</w:t>
      </w:r>
      <w:r>
        <w:rPr>
          <w:rFonts w:hint="default"/>
          <w:color w:val="000000"/>
          <w:szCs w:val="21"/>
        </w:rPr>
        <w:t>20019</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default" w:ascii="黑体" w:eastAsia="黑体"/>
          <w:color w:val="000000"/>
          <w:sz w:val="30"/>
          <w:szCs w:val="30"/>
          <w:u w:val="single"/>
        </w:rPr>
        <w:t>20019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rFonts w:hint="default"/>
          <w:color w:val="000000"/>
          <w:sz w:val="18"/>
          <w:szCs w:val="18"/>
        </w:rPr>
        <w:t>20019</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default"/>
                <w:color w:val="000000"/>
                <w:sz w:val="18"/>
                <w:szCs w:val="18"/>
                <w:u w:val="single"/>
              </w:rPr>
              <w:t>20019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PY2019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C1092220000391</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2020年9月30日至2020年10月8日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本理财计划成立日为2020年10月9日。温州银行有权根据实际募集情况选择产品提前成立，若温州银行采取以上措施，温州银行将就产品相应要素的调整事宜于提前成立日前的一个工作日在温州银行网站予以公告。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1095</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rFonts w:hint="default"/>
                <w:color w:val="000000"/>
                <w:sz w:val="18"/>
                <w:szCs w:val="18"/>
              </w:rPr>
              <w:t>20019</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color w:val="000000"/>
                <w:sz w:val="18"/>
                <w:szCs w:val="18"/>
              </w:rPr>
              <w:t>20019</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千份的整数倍。单个投资者累计最大购买金额2000万元。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将理财产品募集资金直接或间接配置于存款、债券回购、货币市场工具、债券等债权类资产及权益类资产，包括但不限于银行间市场和证券交易所市场债权性资产、非标准化债权资产、资产管理计划、信托计划、各类受（收）益权、资产支持证券、票据资产、债券型基金及其他符合监管要求的固定收益类资产，</w:t>
      </w:r>
      <w:r>
        <w:rPr>
          <w:rFonts w:hint="eastAsia" w:ascii="宋体" w:hAnsi="宋体" w:cs="宋体"/>
          <w:color w:val="000000"/>
          <w:kern w:val="0"/>
          <w:sz w:val="18"/>
          <w:szCs w:val="18"/>
        </w:rPr>
        <w:t>股票、股票型基金、证券投资基金等</w:t>
      </w:r>
      <w:r>
        <w:rPr>
          <w:rFonts w:hint="eastAsia"/>
          <w:sz w:val="18"/>
          <w:szCs w:val="18"/>
        </w:rPr>
        <w:t>权益类资产</w:t>
      </w:r>
      <w:r>
        <w:rPr>
          <w:rFonts w:hint="eastAsia" w:ascii="宋体" w:hAnsi="宋体" w:cs="宋体"/>
          <w:color w:val="000000"/>
          <w:kern w:val="0"/>
          <w:sz w:val="18"/>
          <w:szCs w:val="18"/>
        </w:rPr>
        <w:t>，及法律法规或监管规定认可的其他金融资产</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1727"/>
        <w:gridCol w:w="5970"/>
        <w:gridCol w:w="1703"/>
      </w:tblGrid>
      <w:tr>
        <w:tblPrEx>
          <w:tblCellMar>
            <w:top w:w="0" w:type="dxa"/>
            <w:left w:w="108" w:type="dxa"/>
            <w:bottom w:w="0" w:type="dxa"/>
            <w:right w:w="108" w:type="dxa"/>
          </w:tblCellMar>
        </w:tblPrEx>
        <w:trPr>
          <w:trHeight w:val="270" w:hRule="atLeast"/>
          <w:jc w:val="center"/>
        </w:trPr>
        <w:tc>
          <w:tcPr>
            <w:tcW w:w="1727"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970"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1727"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rFonts w:hint="default"/>
          <w:color w:val="000000"/>
          <w:sz w:val="18"/>
          <w:szCs w:val="18"/>
        </w:rPr>
        <w:t>20019</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：本理财计划成立日为2020年10月9日，从成立日起，每</w:t>
      </w:r>
      <w:r>
        <w:rPr>
          <w:rFonts w:ascii="宋体" w:hAnsi="宋体"/>
          <w:sz w:val="18"/>
        </w:rPr>
        <w:t>【</w:t>
      </w:r>
      <w:r>
        <w:rPr>
          <w:rFonts w:hint="eastAsia" w:ascii="宋体" w:hAnsi="宋体"/>
          <w:color w:val="000000"/>
          <w:sz w:val="18"/>
        </w:rPr>
        <w:t>1095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b/>
          <w:color w:val="000000"/>
          <w:sz w:val="18"/>
        </w:rPr>
      </w:pPr>
      <w:r>
        <w:rPr>
          <w:rFonts w:hint="eastAsia"/>
          <w:b/>
          <w:color w:val="000000"/>
          <w:sz w:val="18"/>
          <w:szCs w:val="18"/>
        </w:rPr>
        <w:t>本产品预计到期终止日为2032年10月9日</w:t>
      </w:r>
      <w:r>
        <w:rPr>
          <w:rFonts w:hint="eastAsia"/>
          <w:b/>
          <w:color w:val="000000"/>
          <w:sz w:val="18"/>
        </w:rPr>
        <w:t>，本产品存续期内，如发生下列情形之一的，温州银行有权但无义务提前终止理财计划：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（2）如遇国家金融政策出现重大调整并影响到本产品的正常运行时，温州银行有权提前终止本产品。</w:t>
      </w:r>
    </w:p>
    <w:p>
      <w:pPr>
        <w:adjustRightInd w:val="0"/>
        <w:snapToGrid w:val="0"/>
        <w:spacing w:line="286" w:lineRule="auto"/>
        <w:rPr>
          <w:sz w:val="18"/>
          <w:szCs w:val="18"/>
        </w:rPr>
      </w:pPr>
      <w:r>
        <w:rPr>
          <w:rFonts w:hint="eastAsia"/>
          <w:sz w:val="18"/>
          <w:szCs w:val="18"/>
        </w:rPr>
        <w:t>（3）因本理财产品投向的金融资产所涉及的相关主体信用恶化，市场利率大幅下滑，温州银行合理判断将影响本理财产品正常运作的，或温州银行有合理理由认为出现了影响本理财计划正常运作的其他情形的。</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ascii="宋体" w:hAnsi="宋体"/>
          <w:color w:val="000000"/>
          <w:sz w:val="18"/>
        </w:rPr>
        <w:t>20019</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以某客户投资10万元为例，购买时产品净值为1.00元，折算份额为100,000.00份,该投资运作周期的理财期限为1095天。假设该投资运作周期的产品业绩比较基准为 4.7% ，该投资运作周期单位累计分红净额0.097。投资运作周期到期清算时，扣除托管费、固定管理费后及其他费用（不含浮动管理费），如产品累计净值为1.1455，此时， (1.1455/1.00-1)×365/1095= 4.85%&gt; 4.7%，即投资收益率超越业绩比较基准，则投资管理人对超过业绩比较基准部分收益收取浮动管理费，浮动管理费为： 100,000.00×[1.1455-1.00×(1+ 4.7%×1095/365)]×50%=225（元）。扣除浮动管理费后，客户剩余理财收益为：100,000.00×（1.1455-1.00-0.097）-225=4625（元），产品投资运作周期到期时，客户本周期获得的实际收益相当于达到年化收益率水平为：（4625+100,000.00×0.097）/100,000.00×365/1095=4.78%。</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1095 天。假设该投资运作周期的业绩比较基准为 4.7% ，该投资运作周期单位累计分红净额0.091。投资运作周期到期清算时，扣除托管费、固定管理费及其他费用（不含浮动管理费）后，如产品净值为1.1395，此时，(1.1395/1.00-1)×365/1095=4.65%&lt;4.7%，即投资收益率未达到业绩比较基准，则投资管理人不收取浮动管理费，客户剩余理财收益为：100,000.00×(1.1395-1.00-0.091）=4,850.00（元）。产品投资运作周期到期时，客户本周期获得的实际收益相当于达到年化收益率水平为：（4850+100,000.00×0.091）/100,000.00×365/1095=4.65%。</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1095天。假设产品业绩比较基准为4.7%，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rFonts w:hint="eastAsia"/>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hint="eastAsia"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1"/>
        </w:numPr>
        <w:adjustRightInd w:val="0"/>
        <w:snapToGrid w:val="0"/>
        <w:spacing w:line="286" w:lineRule="auto"/>
        <w:rPr>
          <w:rFonts w:hint="eastAsia"/>
          <w:sz w:val="18"/>
          <w:szCs w:val="18"/>
        </w:rPr>
      </w:pPr>
      <w:r>
        <w:rPr>
          <w:rFonts w:hint="eastAsia"/>
          <w:sz w:val="18"/>
          <w:szCs w:val="18"/>
        </w:rPr>
        <w:t>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hint="default" w:ascii="宋体" w:hAnsi="宋体"/>
          <w:color w:val="000000"/>
          <w:sz w:val="18"/>
        </w:rPr>
        <w:t>20019</w:t>
      </w:r>
      <w:r>
        <w:rPr>
          <w:rFonts w:hint="eastAsia"/>
          <w:sz w:val="18"/>
          <w:szCs w:val="18"/>
        </w:rPr>
        <w:t>号开放式净值型银行理财计划风险揭示书》、《温州银行“金鹿理财”银行理财计划合约》、《温州银行“金鹿理财-普惠颐养”</w:t>
      </w:r>
      <w:r>
        <w:rPr>
          <w:rFonts w:hint="default" w:ascii="宋体" w:hAnsi="宋体"/>
          <w:color w:val="000000"/>
          <w:sz w:val="18"/>
        </w:rPr>
        <w:t>20019</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rFonts w:hint="eastAsia"/>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4vGbh1Zv0pLJQeAxGFmzqxw7XH4=" w:salt="8OoH5sKLFib1SkfUIVnNoQ=="/>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395D"/>
    <w:rsid w:val="000601A9"/>
    <w:rsid w:val="0006085C"/>
    <w:rsid w:val="00064263"/>
    <w:rsid w:val="00071790"/>
    <w:rsid w:val="000727F8"/>
    <w:rsid w:val="00073067"/>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4FF"/>
    <w:rsid w:val="001D0CE8"/>
    <w:rsid w:val="001D32B6"/>
    <w:rsid w:val="001D6992"/>
    <w:rsid w:val="001D7863"/>
    <w:rsid w:val="001E32A1"/>
    <w:rsid w:val="001E7C2B"/>
    <w:rsid w:val="001F3FDB"/>
    <w:rsid w:val="001F5151"/>
    <w:rsid w:val="001F56DF"/>
    <w:rsid w:val="001F5CBD"/>
    <w:rsid w:val="001F5E12"/>
    <w:rsid w:val="001F6385"/>
    <w:rsid w:val="001F7B5A"/>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3396"/>
    <w:rsid w:val="004D4A91"/>
    <w:rsid w:val="004D7183"/>
    <w:rsid w:val="004E0B32"/>
    <w:rsid w:val="004E1ECE"/>
    <w:rsid w:val="004E259B"/>
    <w:rsid w:val="004E3472"/>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EFD37C4"/>
    <w:rsid w:val="2F3537CC"/>
    <w:rsid w:val="30A92864"/>
    <w:rsid w:val="31BF286F"/>
    <w:rsid w:val="31E83946"/>
    <w:rsid w:val="344375FE"/>
    <w:rsid w:val="344867C2"/>
    <w:rsid w:val="37362DEA"/>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625426F3"/>
    <w:rsid w:val="64102A57"/>
    <w:rsid w:val="64DB6186"/>
    <w:rsid w:val="65DC2C48"/>
    <w:rsid w:val="68696415"/>
    <w:rsid w:val="686B32F0"/>
    <w:rsid w:val="6B37DFF8"/>
    <w:rsid w:val="6C1D1256"/>
    <w:rsid w:val="6C592131"/>
    <w:rsid w:val="6CA75DD7"/>
    <w:rsid w:val="6CEB63D2"/>
    <w:rsid w:val="731C3643"/>
    <w:rsid w:val="7354733A"/>
    <w:rsid w:val="769C0D96"/>
    <w:rsid w:val="79A903BE"/>
    <w:rsid w:val="7A8D5E63"/>
    <w:rsid w:val="7C002445"/>
    <w:rsid w:val="7C1A5C70"/>
    <w:rsid w:val="7E2730F6"/>
    <w:rsid w:val="7EF472EA"/>
    <w:rsid w:val="7FEE272B"/>
    <w:rsid w:val="B4DDE0FF"/>
    <w:rsid w:val="DDE6B92A"/>
    <w:rsid w:val="E73CB198"/>
    <w:rsid w:val="EFFC1F21"/>
    <w:rsid w:val="F99F11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annotation text"/>
    <w:basedOn w:val="1"/>
    <w:link w:val="16"/>
    <w:uiPriority w:val="0"/>
    <w:pPr>
      <w:jc w:val="left"/>
    </w:pPr>
  </w:style>
  <w:style w:type="paragraph" w:styleId="3">
    <w:name w:val="Balloon Text"/>
    <w:basedOn w:val="1"/>
    <w:link w:val="15"/>
    <w:uiPriority w:val="0"/>
    <w:rPr>
      <w:sz w:val="18"/>
      <w:szCs w:val="18"/>
    </w:rPr>
  </w:style>
  <w:style w:type="paragraph" w:styleId="4">
    <w:name w:val="footer"/>
    <w:basedOn w:val="1"/>
    <w:link w:val="12"/>
    <w:uiPriority w:val="99"/>
    <w:pPr>
      <w:tabs>
        <w:tab w:val="center" w:pos="4153"/>
        <w:tab w:val="right" w:pos="8306"/>
      </w:tabs>
      <w:snapToGrid w:val="0"/>
      <w:jc w:val="left"/>
    </w:pPr>
    <w:rPr>
      <w:sz w:val="18"/>
      <w:szCs w:val="18"/>
    </w:rPr>
  </w:style>
  <w:style w:type="paragraph" w:styleId="5">
    <w:name w:val="header"/>
    <w:basedOn w:val="1"/>
    <w:link w:val="14"/>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rPr>
      <w:sz w:val="24"/>
    </w:rPr>
  </w:style>
  <w:style w:type="paragraph" w:styleId="7">
    <w:name w:val="annotation subject"/>
    <w:basedOn w:val="2"/>
    <w:next w:val="2"/>
    <w:link w:val="13"/>
    <w:uiPriority w:val="0"/>
    <w:rPr>
      <w:b/>
      <w:bCs/>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iPriority w:val="0"/>
    <w:rPr>
      <w:sz w:val="21"/>
      <w:szCs w:val="21"/>
    </w:rPr>
  </w:style>
  <w:style w:type="character" w:customStyle="1" w:styleId="12">
    <w:name w:val="页脚 字符"/>
    <w:link w:val="4"/>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uiPriority w:val="0"/>
    <w:rPr>
      <w:kern w:val="2"/>
      <w:sz w:val="18"/>
      <w:szCs w:val="18"/>
    </w:rPr>
  </w:style>
  <w:style w:type="character" w:customStyle="1" w:styleId="15">
    <w:name w:val="批注框文本 字符"/>
    <w:link w:val="3"/>
    <w:uiPriority w:val="0"/>
    <w:rPr>
      <w:kern w:val="2"/>
      <w:sz w:val="18"/>
      <w:szCs w:val="18"/>
    </w:rPr>
  </w:style>
  <w:style w:type="character" w:customStyle="1" w:styleId="16">
    <w:name w:val="批注文字 字符"/>
    <w:link w:val="2"/>
    <w:uiPriority w:val="0"/>
    <w:rPr>
      <w:kern w:val="2"/>
      <w:sz w:val="21"/>
    </w:rPr>
  </w:style>
  <w:style w:type="paragraph" w:customStyle="1" w:styleId="17">
    <w:name w:val="_Style 16"/>
    <w:unhideWhenUsed/>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 Char"/>
    <w:basedOn w:val="1"/>
    <w:qFormat/>
    <w:uiPriority w:val="0"/>
    <w:rPr>
      <w:rFonts w:ascii="仿宋_GB2312" w:eastAsia="仿宋_GB2312"/>
      <w:b/>
      <w:sz w:val="32"/>
      <w:szCs w:val="32"/>
    </w:rPr>
  </w:style>
  <w:style w:type="paragraph" w:customStyle="1" w:styleId="20">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2674</Words>
  <Characters>15243</Characters>
  <Lines>127</Lines>
  <Paragraphs>35</Paragraphs>
  <TotalTime>17</TotalTime>
  <ScaleCrop>false</ScaleCrop>
  <LinksUpToDate>false</LinksUpToDate>
  <CharactersWithSpaces>17882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2022-03-01T10:57:00Z</dcterms:created>
  <dc:creator>潘伟蕾</dc:creator>
  <cp:lastModifiedBy>应心茹</cp:lastModifiedBy>
  <cp:lastPrinted>2012-11-27T10:11:00Z</cp:lastPrinted>
  <dcterms:modified xsi:type="dcterms:W3CDTF">2023-09-22T07:06:08Z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