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第10期89天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期89天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2023年10月9日至2023年10月11日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89天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2024年1月2日</w:t>
            </w:r>
            <w:r>
              <w:rPr>
                <w:rFonts w:hint="eastAsia" w:ascii="宋体" w:hAnsi="宋体" w:eastAsia="宋体" w:cs="Times New Roman"/>
                <w:color w:val="000000"/>
                <w:kern w:val="0"/>
                <w:sz w:val="18"/>
                <w:szCs w:val="18"/>
                <w:u w:val="single"/>
                <w:lang w:val="en-US" w:eastAsia="zh-Hans" w:bidi="ar-SA"/>
              </w:rPr>
              <w:t>至2024年1月8日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2024年1月9日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“金鹿理财-普惠季享”7号开放式净值型银行理财计划风险揭示书》、《温州银行“金鹿理财-普惠季享”7号开放式净值型银行理财计划产品说明书》、《温州银行“金鹿理财-普惠季享”7号开放式净值型（第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期89天）银行理财计划开放认购（申购）申请书》和《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k4Qt2fk4jNuHduUJkBdUFy4XWs=" w:salt="lov03Vp6iADhZP93HzQQ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61F9F8A"/>
    <w:rsid w:val="7EB8159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2023-10-07T02:14:55Z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