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第33期28天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33</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2023年10月9日至2023年10月11日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2023年11月2日</w:t>
            </w:r>
            <w:r>
              <w:rPr>
                <w:rFonts w:hint="eastAsia" w:ascii="宋体" w:hAnsi="宋体" w:eastAsia="宋体" w:cs="Times New Roman"/>
                <w:color w:val="000000"/>
                <w:kern w:val="0"/>
                <w:sz w:val="18"/>
                <w:szCs w:val="18"/>
                <w:u w:val="single"/>
                <w:lang w:val="en-US" w:eastAsia="zh-Hans" w:bidi="ar-SA"/>
              </w:rPr>
              <w:t>至2023年11月8日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2023年11</w:t>
            </w:r>
            <w:bookmarkStart w:id="0" w:name="_GoBack"/>
            <w:bookmarkEnd w:id="0"/>
            <w:r>
              <w:rPr>
                <w:rFonts w:hint="eastAsia" w:ascii="宋体" w:hAnsi="宋体" w:eastAsia="宋体" w:cs="宋体"/>
                <w:color w:val="000000"/>
                <w:kern w:val="0"/>
                <w:sz w:val="18"/>
                <w:szCs w:val="18"/>
                <w:u w:val="single"/>
                <w:lang w:val="en-US" w:eastAsia="zh-CN" w:bidi="ar-SA"/>
              </w:rPr>
              <w:t>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“金鹿理财-普惠月享”1号开放式净值型银行理财计划风险揭示书》、《温州银行“金鹿理财-普惠月享”1号开放式净值型银行理财计划产品说明书》、《温州银行“金鹿理财-普惠月享”1号开放式净值型（第</w:t>
            </w:r>
            <w:r>
              <w:rPr>
                <w:rFonts w:hint="eastAsia" w:ascii="宋体" w:hAnsi="宋体" w:eastAsia="宋体"/>
                <w:color w:val="000000"/>
                <w:sz w:val="18"/>
                <w:szCs w:val="20"/>
                <w:lang w:val="en-US" w:eastAsia="zh-Hans"/>
              </w:rPr>
              <w:t>33</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af/aCKilKAKhsz5H8DQpcyfqzxs=" w:salt="+/sG2Rh5CkGL3dTCiXQV9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9F6921E"/>
    <w:rsid w:val="6B992D7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2023-10-07T02:14:57Z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