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第33期28天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33</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2023年10月12日至2023年10月18日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2023年11月9日</w:t>
            </w:r>
            <w:r>
              <w:rPr>
                <w:rFonts w:hint="eastAsia" w:ascii="宋体" w:hAnsi="宋体" w:eastAsia="宋体" w:cs="Times New Roman"/>
                <w:color w:val="000000"/>
                <w:kern w:val="0"/>
                <w:sz w:val="18"/>
                <w:szCs w:val="18"/>
                <w:u w:val="single"/>
                <w:lang w:val="en-US" w:eastAsia="zh-Hans" w:bidi="ar-SA"/>
              </w:rPr>
              <w:t>至2023年11月1</w:t>
            </w:r>
            <w:bookmarkStart w:id="0" w:name="_GoBack"/>
            <w:bookmarkEnd w:id="0"/>
            <w:r>
              <w:rPr>
                <w:rFonts w:hint="eastAsia" w:ascii="宋体" w:hAnsi="宋体" w:eastAsia="宋体" w:cs="Times New Roman"/>
                <w:color w:val="000000"/>
                <w:kern w:val="0"/>
                <w:sz w:val="18"/>
                <w:szCs w:val="18"/>
                <w:u w:val="single"/>
                <w:lang w:val="en-US" w:eastAsia="zh-Hans" w:bidi="ar-SA"/>
              </w:rPr>
              <w:t>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“金鹿理财-普惠月享”2号开放式净值型银行理财计划风险揭示书》、《温州银行“金鹿理财-普惠月享”2号开放式净值型银行理财计划产品说明书》、《温州银行“金鹿理财-普惠月享”2号开放式净值型（第</w:t>
            </w:r>
            <w:r>
              <w:rPr>
                <w:rFonts w:hint="eastAsia" w:ascii="宋体" w:hAnsi="宋体" w:eastAsia="宋体"/>
                <w:color w:val="000000"/>
                <w:sz w:val="18"/>
                <w:szCs w:val="20"/>
                <w:lang w:val="en-US" w:eastAsia="zh-Hans"/>
              </w:rPr>
              <w:t>33</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1DbCHN9FcoA+aQISXAOrmuYY8k=" w:salt="3K0K3NUBQ1xI7B8i5ocvq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762089F"/>
    <w:rsid w:val="3BEF0754"/>
    <w:rsid w:val="4FB227E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2023-10-07T02:14:58Z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