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23019</w:t>
      </w:r>
      <w:r>
        <w:rPr>
          <w:rFonts w:hint="eastAsia" w:ascii="黑体" w:eastAsia="黑体"/>
          <w:sz w:val="30"/>
          <w:szCs w:val="30"/>
          <w:highlight w:val="none"/>
        </w:rPr>
        <w:t>号（稳健低波款）银行理财计划风险揭示书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23019</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lang w:val="en-US" w:eastAsia="zh-CN"/>
        </w:rPr>
        <w:t>399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23019</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23019</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6"/>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23019</w:t>
      </w:r>
      <w:r>
        <w:rPr>
          <w:rFonts w:hint="eastAsia" w:ascii="黑体" w:eastAsia="黑体"/>
          <w:bCs/>
          <w:sz w:val="30"/>
          <w:szCs w:val="30"/>
          <w:highlight w:val="none"/>
        </w:rPr>
        <w:t>号（稳健低波款）</w:t>
      </w: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23019</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23019</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JW2319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C1092223000025</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lang w:val="en-US" w:eastAsia="zh-CN"/>
              </w:rPr>
              <w:t>399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w:t>
            </w:r>
            <w:r>
              <w:rPr>
                <w:rFonts w:hint="eastAsia"/>
                <w:sz w:val="18"/>
                <w:szCs w:val="18"/>
                <w:highlight w:val="none"/>
                <w:lang w:val="en-US" w:eastAsia="zh-CN"/>
              </w:rPr>
              <w:t>2</w:t>
            </w:r>
            <w:r>
              <w:rPr>
                <w:rFonts w:hint="eastAsia"/>
                <w:sz w:val="18"/>
                <w:szCs w:val="18"/>
                <w:highlight w:val="none"/>
              </w:rPr>
              <w:t>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2023年10月10日</w:t>
            </w:r>
            <w:r>
              <w:rPr>
                <w:rFonts w:hint="eastAsia"/>
                <w:sz w:val="18"/>
                <w:highlight w:val="none"/>
                <w:u w:val="single"/>
              </w:rPr>
              <w:t>至</w:t>
            </w:r>
            <w:r>
              <w:rPr>
                <w:rFonts w:hint="default"/>
                <w:color w:val="000000"/>
                <w:sz w:val="18"/>
                <w:highlight w:val="none"/>
                <w:u w:val="single"/>
              </w:rPr>
              <w:t>2023年10月16日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highlight w:val="none"/>
                <w:u w:val="single"/>
              </w:rPr>
              <w:t>2024年11月19日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3.45%（年化）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rFonts w:hint="eastAsia"/>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本产品业绩比较基准为3.45%（年化）。本产品业绩比较基准仅作为计提产品浮动管理费的依据，不构成温州银行对该理财产品的任何收益承诺。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highlight w:val="none"/>
        </w:rPr>
        <w:t>2023年10月10日</w:t>
      </w:r>
      <w:r>
        <w:rPr>
          <w:rFonts w:hint="eastAsia"/>
          <w:sz w:val="18"/>
          <w:highlight w:val="none"/>
        </w:rPr>
        <w:t>至</w:t>
      </w:r>
      <w:r>
        <w:rPr>
          <w:rFonts w:hint="default"/>
          <w:color w:val="000000"/>
          <w:sz w:val="18"/>
          <w:highlight w:val="none"/>
        </w:rPr>
        <w:t>2023年10月16日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sz w:val="18"/>
          <w:highlight w:val="none"/>
        </w:rPr>
      </w:pPr>
      <w:r>
        <w:rPr>
          <w:rFonts w:hint="eastAsia"/>
          <w:sz w:val="18"/>
          <w:szCs w:val="18"/>
          <w:highlight w:val="none"/>
        </w:rPr>
        <w:t>本产品预计到期终止日为</w:t>
      </w:r>
      <w:r>
        <w:rPr>
          <w:rFonts w:hint="default"/>
          <w:color w:val="000000"/>
          <w:sz w:val="18"/>
          <w:highlight w:val="none"/>
        </w:rPr>
        <w:t>2024年11月19日</w:t>
      </w:r>
      <w:r>
        <w:rPr>
          <w:rFonts w:hint="eastAsia"/>
          <w:sz w:val="18"/>
          <w:highlight w:val="none"/>
        </w:rPr>
        <w:t>，如发生下列情形之一的，温州银行有权但无义务终止理财计划：</w:t>
      </w:r>
    </w:p>
    <w:p>
      <w:pPr>
        <w:numPr>
          <w:ilvl w:val="0"/>
          <w:numId w:val="1"/>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w:t>
      </w:r>
      <w:r>
        <w:rPr>
          <w:sz w:val="18"/>
          <w:szCs w:val="18"/>
          <w:highlight w:val="none"/>
        </w:rPr>
        <w:t>3.</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%。到期时扣除托管费、销售服务费、固定管理费及其他费用（如有）后，如产品净值为1.04，此时， (1.04/1.00-1)×365/</w:t>
      </w:r>
      <w:r>
        <w:rPr>
          <w:rFonts w:hint="eastAsia"/>
          <w:sz w:val="18"/>
          <w:szCs w:val="18"/>
          <w:highlight w:val="none"/>
          <w:lang w:val="en-US" w:eastAsia="zh-CN"/>
        </w:rPr>
        <w:t>399</w:t>
      </w:r>
      <w:r>
        <w:rPr>
          <w:rFonts w:hint="eastAsia"/>
          <w:sz w:val="18"/>
          <w:szCs w:val="18"/>
          <w:highlight w:val="none"/>
        </w:rPr>
        <w:t>=3.6</w:t>
      </w:r>
      <w:r>
        <w:rPr>
          <w:rFonts w:hint="eastAsia"/>
          <w:sz w:val="18"/>
          <w:szCs w:val="18"/>
          <w:highlight w:val="none"/>
          <w:lang w:val="en-US" w:eastAsia="zh-CN"/>
        </w:rPr>
        <w:t>6</w:t>
      </w:r>
      <w:r>
        <w:rPr>
          <w:rFonts w:hint="eastAsia"/>
          <w:sz w:val="18"/>
          <w:szCs w:val="18"/>
          <w:highlight w:val="none"/>
        </w:rPr>
        <w:t>%&gt;</w:t>
      </w:r>
      <w:r>
        <w:rPr>
          <w:sz w:val="18"/>
          <w:szCs w:val="18"/>
          <w:highlight w:val="none"/>
        </w:rPr>
        <w:t>3.</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%，即投资收益超越业绩比较基准，则投资管理人对超过业绩比较基准部分收益收取浮动管理费，浮动管理费为：1,000,000.00×[1.04-1.00×(1+</w:t>
      </w:r>
      <w:r>
        <w:rPr>
          <w:sz w:val="18"/>
          <w:szCs w:val="18"/>
          <w:highlight w:val="none"/>
        </w:rPr>
        <w:t>3.</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w:t>
      </w:r>
      <w:r>
        <w:rPr>
          <w:rFonts w:hint="eastAsia"/>
          <w:sz w:val="18"/>
          <w:szCs w:val="18"/>
          <w:highlight w:val="none"/>
          <w:lang w:val="en-US" w:eastAsia="zh-CN"/>
        </w:rPr>
        <w:t>399</w:t>
      </w:r>
      <w:r>
        <w:rPr>
          <w:rFonts w:hint="eastAsia"/>
          <w:sz w:val="18"/>
          <w:szCs w:val="18"/>
          <w:highlight w:val="none"/>
        </w:rPr>
        <w:t>/365)]×80%=</w:t>
      </w:r>
      <w:r>
        <w:rPr>
          <w:rFonts w:hint="default"/>
          <w:sz w:val="18"/>
          <w:szCs w:val="18"/>
          <w:highlight w:val="none"/>
          <w:lang w:eastAsia="zh-CN"/>
        </w:rPr>
        <w:t>1829</w:t>
      </w:r>
      <w:r>
        <w:rPr>
          <w:rFonts w:hint="eastAsia"/>
          <w:sz w:val="18"/>
          <w:szCs w:val="18"/>
          <w:highlight w:val="none"/>
          <w:lang w:val="en-US" w:eastAsia="zh-Hans"/>
        </w:rPr>
        <w:t>.</w:t>
      </w:r>
      <w:r>
        <w:rPr>
          <w:rFonts w:hint="default"/>
          <w:sz w:val="18"/>
          <w:szCs w:val="18"/>
          <w:highlight w:val="none"/>
          <w:lang w:eastAsia="zh-Hans"/>
        </w:rPr>
        <w:t>04</w:t>
      </w:r>
      <w:r>
        <w:rPr>
          <w:rFonts w:hint="eastAsia"/>
          <w:sz w:val="18"/>
          <w:szCs w:val="18"/>
          <w:highlight w:val="none"/>
        </w:rPr>
        <w:t>（元）。扣除浮动管理费后，客户最终收益为：1,000,000.00×（1.04-1.00）-</w:t>
      </w:r>
      <w:r>
        <w:rPr>
          <w:rFonts w:hint="default"/>
          <w:sz w:val="18"/>
          <w:szCs w:val="18"/>
          <w:highlight w:val="none"/>
          <w:lang w:eastAsia="zh-CN"/>
        </w:rPr>
        <w:t>1829</w:t>
      </w:r>
      <w:r>
        <w:rPr>
          <w:rFonts w:hint="eastAsia"/>
          <w:sz w:val="18"/>
          <w:szCs w:val="18"/>
          <w:highlight w:val="none"/>
          <w:lang w:val="en-US" w:eastAsia="zh-Hans"/>
        </w:rPr>
        <w:t>.</w:t>
      </w:r>
      <w:r>
        <w:rPr>
          <w:rFonts w:hint="default"/>
          <w:sz w:val="18"/>
          <w:szCs w:val="18"/>
          <w:highlight w:val="none"/>
          <w:lang w:eastAsia="zh-Hans"/>
        </w:rPr>
        <w:t>04</w:t>
      </w:r>
      <w:r>
        <w:rPr>
          <w:rFonts w:hint="eastAsia"/>
          <w:sz w:val="18"/>
          <w:szCs w:val="18"/>
          <w:highlight w:val="none"/>
        </w:rPr>
        <w:t>=</w:t>
      </w:r>
      <w:r>
        <w:rPr>
          <w:rFonts w:hint="default"/>
          <w:sz w:val="18"/>
          <w:szCs w:val="18"/>
          <w:highlight w:val="none"/>
        </w:rPr>
        <w:t>38170</w:t>
      </w:r>
      <w:r>
        <w:rPr>
          <w:rFonts w:hint="eastAsia"/>
          <w:sz w:val="18"/>
          <w:szCs w:val="18"/>
          <w:highlight w:val="none"/>
          <w:lang w:val="en-US" w:eastAsia="zh-Hans"/>
        </w:rPr>
        <w:t>.</w:t>
      </w:r>
      <w:r>
        <w:rPr>
          <w:rFonts w:hint="default"/>
          <w:sz w:val="18"/>
          <w:szCs w:val="18"/>
          <w:highlight w:val="none"/>
          <w:lang w:eastAsia="zh-Hans"/>
        </w:rPr>
        <w:t>96</w:t>
      </w:r>
      <w:r>
        <w:rPr>
          <w:rFonts w:hint="eastAsia"/>
          <w:sz w:val="18"/>
          <w:szCs w:val="18"/>
          <w:highlight w:val="none"/>
        </w:rPr>
        <w:t>（元），产品到期时，客户获得的实际收益相当于达到年化收益率水平为：</w:t>
      </w:r>
      <w:r>
        <w:rPr>
          <w:rFonts w:hint="default"/>
          <w:sz w:val="18"/>
          <w:szCs w:val="18"/>
          <w:highlight w:val="none"/>
        </w:rPr>
        <w:t>38170.96</w:t>
      </w:r>
      <w:r>
        <w:rPr>
          <w:rFonts w:hint="eastAsia"/>
          <w:sz w:val="18"/>
          <w:szCs w:val="18"/>
          <w:highlight w:val="none"/>
        </w:rPr>
        <w:t>/1,000,000.00×365/</w:t>
      </w:r>
      <w:r>
        <w:rPr>
          <w:rFonts w:hint="eastAsia"/>
          <w:sz w:val="18"/>
          <w:szCs w:val="18"/>
          <w:highlight w:val="none"/>
          <w:lang w:val="en-US" w:eastAsia="zh-CN"/>
        </w:rPr>
        <w:t>399</w:t>
      </w:r>
      <w:r>
        <w:rPr>
          <w:rFonts w:hint="eastAsia"/>
          <w:sz w:val="18"/>
          <w:szCs w:val="18"/>
          <w:highlight w:val="none"/>
        </w:rPr>
        <w:t>=</w:t>
      </w:r>
      <w:r>
        <w:rPr>
          <w:sz w:val="18"/>
          <w:szCs w:val="18"/>
          <w:highlight w:val="none"/>
        </w:rPr>
        <w:t>3.</w:t>
      </w:r>
      <w:r>
        <w:rPr>
          <w:rFonts w:hint="default"/>
          <w:sz w:val="18"/>
          <w:szCs w:val="18"/>
          <w:highlight w:val="none"/>
        </w:rPr>
        <w:t>49</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w:t>
      </w:r>
      <w:r>
        <w:rPr>
          <w:sz w:val="18"/>
          <w:szCs w:val="18"/>
          <w:highlight w:val="none"/>
        </w:rPr>
        <w:t>3.</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%。到期时扣除托管费、销售服务费、固定管理费及其他费用（如有）后，如产品净值为1.03，此时，(1.03/1.00-1)×365/</w:t>
      </w:r>
      <w:r>
        <w:rPr>
          <w:rFonts w:hint="eastAsia"/>
          <w:sz w:val="18"/>
          <w:szCs w:val="18"/>
          <w:highlight w:val="none"/>
          <w:lang w:val="en-US" w:eastAsia="zh-CN"/>
        </w:rPr>
        <w:t>399</w:t>
      </w:r>
      <w:r>
        <w:rPr>
          <w:rFonts w:hint="eastAsia"/>
          <w:sz w:val="18"/>
          <w:szCs w:val="18"/>
          <w:highlight w:val="none"/>
        </w:rPr>
        <w:t>=</w:t>
      </w:r>
      <w:r>
        <w:rPr>
          <w:rFonts w:hint="eastAsia"/>
          <w:sz w:val="18"/>
          <w:szCs w:val="18"/>
          <w:highlight w:val="none"/>
          <w:lang w:val="en-US" w:eastAsia="zh-CN"/>
        </w:rPr>
        <w:t>2.74</w:t>
      </w:r>
      <w:r>
        <w:rPr>
          <w:rFonts w:hint="eastAsia"/>
          <w:sz w:val="18"/>
          <w:szCs w:val="18"/>
          <w:highlight w:val="none"/>
        </w:rPr>
        <w:t>%&lt;</w:t>
      </w:r>
      <w:r>
        <w:rPr>
          <w:sz w:val="18"/>
          <w:szCs w:val="18"/>
          <w:highlight w:val="none"/>
        </w:rPr>
        <w:t>3.</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%，即投资收益未达到业绩比较基准，则投资管理人不收取浮动管理费，客户最终收益为：1,000,000.00×(1.03-1.00）=3</w:t>
      </w:r>
      <w:r>
        <w:rPr>
          <w:rFonts w:hint="eastAsia"/>
          <w:sz w:val="18"/>
          <w:szCs w:val="18"/>
          <w:highlight w:val="none"/>
          <w:lang w:val="en-US" w:eastAsia="zh-CN"/>
        </w:rPr>
        <w:t>0</w:t>
      </w:r>
      <w:r>
        <w:rPr>
          <w:rFonts w:hint="eastAsia"/>
          <w:sz w:val="18"/>
          <w:szCs w:val="18"/>
          <w:highlight w:val="none"/>
        </w:rPr>
        <w:t>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天。假设产品业绩比较基准为3</w:t>
      </w:r>
      <w:r>
        <w:rPr>
          <w:sz w:val="18"/>
          <w:szCs w:val="18"/>
          <w:highlight w:val="none"/>
        </w:rPr>
        <w:t>.</w:t>
      </w:r>
      <w:r>
        <w:rPr>
          <w:rFonts w:hint="default"/>
          <w:sz w:val="18"/>
          <w:szCs w:val="18"/>
          <w:highlight w:val="none"/>
        </w:rPr>
        <w:t>4</w:t>
      </w:r>
      <w:r>
        <w:rPr>
          <w:rFonts w:hint="eastAsia"/>
          <w:sz w:val="18"/>
          <w:szCs w:val="18"/>
          <w:highlight w:val="none"/>
          <w:lang w:val="en-US" w:eastAsia="zh-CN"/>
        </w:rPr>
        <w:t>5</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23019</w:t>
      </w:r>
      <w:r>
        <w:rPr>
          <w:rFonts w:hint="eastAsia"/>
          <w:sz w:val="18"/>
          <w:szCs w:val="18"/>
          <w:highlight w:val="none"/>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fbXTkiVaG2Vy7qSJFerVpEQP2oQ=" w:salt="gHZxVPH6l1LQ4X6b9B3jlA=="/>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714A37"/>
    <w:rsid w:val="00737995"/>
    <w:rsid w:val="00757B1C"/>
    <w:rsid w:val="00766CF2"/>
    <w:rsid w:val="0078088F"/>
    <w:rsid w:val="007828DA"/>
    <w:rsid w:val="007918BA"/>
    <w:rsid w:val="00795498"/>
    <w:rsid w:val="007A7805"/>
    <w:rsid w:val="00832709"/>
    <w:rsid w:val="00836614"/>
    <w:rsid w:val="00866A5E"/>
    <w:rsid w:val="009115E2"/>
    <w:rsid w:val="009E3776"/>
    <w:rsid w:val="009E5DE6"/>
    <w:rsid w:val="00A529EE"/>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3535C37"/>
    <w:rsid w:val="26531D8B"/>
    <w:rsid w:val="268A5E41"/>
    <w:rsid w:val="275A751E"/>
    <w:rsid w:val="27BD2B01"/>
    <w:rsid w:val="27DE6CFF"/>
    <w:rsid w:val="28076A45"/>
    <w:rsid w:val="296645C3"/>
    <w:rsid w:val="2ACF0E36"/>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EFE40C2"/>
    <w:rsid w:val="50C31060"/>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FC162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0"/>
    <w:unhideWhenUsed/>
    <w:uiPriority w:val="99"/>
    <w:pPr>
      <w:jc w:val="left"/>
    </w:pPr>
    <w:rPr>
      <w:rFonts w:ascii="Times New Roman" w:hAnsi="Times New Roman"/>
    </w:r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批注文字 字符"/>
    <w:link w:val="2"/>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1954</Words>
  <Characters>11138</Characters>
  <Lines>92</Lines>
  <Paragraphs>26</Paragraphs>
  <TotalTime>3</TotalTime>
  <ScaleCrop>false</ScaleCrop>
  <LinksUpToDate>false</LinksUpToDate>
  <CharactersWithSpaces>13066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2022-03-08T15:10:00Z</dcterms:created>
  <dc:creator>陈浩</dc:creator>
  <cp:lastModifiedBy>应心茹</cp:lastModifiedBy>
  <dcterms:modified xsi:type="dcterms:W3CDTF">2023-10-07T02:18:38Z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