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hint="default" w:ascii="黑体" w:eastAsia="黑体"/>
          <w:color w:val="000000"/>
          <w:sz w:val="30"/>
          <w:szCs w:val="30"/>
          <w:u w:val="single"/>
        </w:rPr>
        <w:t>20021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rFonts w:hint="default"/>
          <w:color w:val="000000"/>
          <w:szCs w:val="21"/>
          <w:u w:val="single"/>
        </w:rPr>
        <w:t>20021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rFonts w:hint="default"/>
          <w:color w:val="000000"/>
          <w:szCs w:val="21"/>
        </w:rPr>
        <w:t>20021</w:t>
      </w:r>
      <w:r>
        <w:rPr>
          <w:rFonts w:hint="eastAsia"/>
          <w:szCs w:val="21"/>
        </w:rPr>
        <w:t>号开放式净值型（第i期）银行理财计划开放认购（申购）申请书》约定为准。根据温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（稳健型）：总体风险程度较低，温州银行不承诺本金保障但本金损失可能性很小，产品收益随投资表现变动。本理财产品适合客户：经温州银行评估为稳健型、平衡型、进取型、激进型的个人投资者。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rFonts w:hint="default"/>
          <w:color w:val="000000"/>
          <w:szCs w:val="21"/>
        </w:rPr>
        <w:t>20021</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rFonts w:hint="default"/>
          <w:color w:val="000000"/>
          <w:szCs w:val="21"/>
        </w:rPr>
        <w:t>20021</w:t>
      </w:r>
      <w:r>
        <w:rPr>
          <w:rFonts w:hint="eastAsia" w:ascii="宋体" w:hAnsi="宋体"/>
          <w:szCs w:val="21"/>
        </w:rPr>
        <w:t>号开放式净值型银行理财计划产品说明书》、《温州银行“金鹿理财-普惠颐养”</w:t>
      </w:r>
      <w:r>
        <w:rPr>
          <w:rFonts w:hint="default"/>
          <w:color w:val="000000"/>
          <w:szCs w:val="21"/>
        </w:rPr>
        <w:t>20021</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hint="default" w:ascii="黑体" w:eastAsia="黑体"/>
          <w:color w:val="000000"/>
          <w:sz w:val="30"/>
          <w:szCs w:val="30"/>
          <w:u w:val="single"/>
        </w:rPr>
        <w:t>20021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rFonts w:hint="default"/>
          <w:color w:val="000000"/>
          <w:sz w:val="18"/>
          <w:szCs w:val="18"/>
        </w:rPr>
        <w:t>20021</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rFonts w:hint="default"/>
                <w:color w:val="000000"/>
                <w:sz w:val="18"/>
                <w:szCs w:val="18"/>
                <w:u w:val="single"/>
              </w:rPr>
              <w:t>20021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PY2021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C1092220000393</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2020年10月14日至2020年10月20日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本理财计划成立日为2020年10月21日。温州银行有权根据实际募集情况选择产品提前成立，若温州银行采取以上措施，温州银行将就产品相应要素的调整事宜于提前成立日前的一个工作日在温州银行网站予以公告。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rFonts w:hint="default"/>
                <w:color w:val="000000"/>
                <w:sz w:val="18"/>
                <w:szCs w:val="18"/>
              </w:rPr>
              <w:t>20021</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color w:val="000000"/>
                <w:sz w:val="18"/>
                <w:szCs w:val="18"/>
              </w:rPr>
              <w:t>20021</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千份的整数倍。单个投资者累计最大购买金额2000万元。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hint="eastAsia"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rFonts w:hint="eastAsia"/>
          <w:sz w:val="18"/>
          <w:szCs w:val="18"/>
        </w:rPr>
      </w:pPr>
      <w:r>
        <w:rPr>
          <w:rFonts w:hint="eastAsia"/>
          <w:sz w:val="18"/>
          <w:szCs w:val="18"/>
        </w:rPr>
        <w:t>本产品为固定收益类理财产品，温州银行将理财产品募集资金直接或间接配置于存款、债券回购、货币市场工具、债券等债权类资产及权益类资产，包括但不限于银行间市场和证券交易所市场债权性资产、非标准化债权资产、资产管理计划、信托计划、各类受（收）益权、资产支持证券、票据资产、债券型基金及其他符合监管要求的固定收益类资产，</w:t>
      </w:r>
      <w:r>
        <w:rPr>
          <w:rFonts w:hint="eastAsia" w:ascii="宋体" w:hAnsi="宋体" w:cs="宋体"/>
          <w:color w:val="000000"/>
          <w:kern w:val="0"/>
          <w:sz w:val="18"/>
          <w:szCs w:val="18"/>
        </w:rPr>
        <w:t>股票、股票型基金、证券投资基金等</w:t>
      </w:r>
      <w:r>
        <w:rPr>
          <w:rFonts w:hint="eastAsia"/>
          <w:sz w:val="18"/>
          <w:szCs w:val="18"/>
        </w:rPr>
        <w:t>权益类资产</w:t>
      </w:r>
      <w:r>
        <w:rPr>
          <w:rFonts w:hint="eastAsia" w:ascii="宋体" w:hAnsi="宋体" w:cs="宋体"/>
          <w:color w:val="000000"/>
          <w:kern w:val="0"/>
          <w:sz w:val="18"/>
          <w:szCs w:val="18"/>
        </w:rPr>
        <w:t>，及法律法规或监管规定认可的其他金融资产</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1727"/>
        <w:gridCol w:w="5970"/>
        <w:gridCol w:w="1703"/>
      </w:tblGrid>
      <w:tr>
        <w:tblPrEx>
          <w:tblCellMar>
            <w:top w:w="0" w:type="dxa"/>
            <w:left w:w="108" w:type="dxa"/>
            <w:bottom w:w="0" w:type="dxa"/>
            <w:right w:w="108" w:type="dxa"/>
          </w:tblCellMar>
        </w:tblPrEx>
        <w:trPr>
          <w:trHeight w:val="270" w:hRule="atLeast"/>
          <w:jc w:val="center"/>
        </w:trPr>
        <w:tc>
          <w:tcPr>
            <w:tcW w:w="1727"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970"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1727"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固定收益类</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color w:val="000000"/>
                <w:kern w:val="0"/>
                <w:sz w:val="18"/>
                <w:szCs w:val="18"/>
              </w:rPr>
            </w:pP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1727"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970" w:type="dxa"/>
            <w:tcBorders>
              <w:top w:val="nil"/>
              <w:left w:val="nil"/>
              <w:bottom w:val="single" w:color="auto" w:sz="4" w:space="0"/>
              <w:right w:val="single" w:color="auto" w:sz="4" w:space="0"/>
            </w:tcBorders>
            <w:noWrap w:val="0"/>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rFonts w:hint="eastAsia"/>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rFonts w:hint="eastAsia"/>
          <w:b/>
          <w:bCs/>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rFonts w:hint="eastAsia"/>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rFonts w:hint="default"/>
          <w:color w:val="000000"/>
          <w:sz w:val="18"/>
          <w:szCs w:val="18"/>
        </w:rPr>
        <w:t>20021</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：本理财计划成立日为2020年10月21日，从成立日起，每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b/>
          <w:color w:val="000000"/>
          <w:sz w:val="18"/>
        </w:rPr>
      </w:pPr>
      <w:r>
        <w:rPr>
          <w:rFonts w:hint="eastAsia"/>
          <w:b/>
          <w:color w:val="000000"/>
          <w:sz w:val="18"/>
          <w:szCs w:val="18"/>
        </w:rPr>
        <w:t>本产品预计到期终止日为2032年10月21日</w:t>
      </w:r>
      <w:r>
        <w:rPr>
          <w:rFonts w:hint="eastAsia"/>
          <w:b/>
          <w:color w:val="000000"/>
          <w:sz w:val="18"/>
        </w:rPr>
        <w:t>，本产品存续期内，如发生下列情形之一的，温州银行有权但无义务提前终止理财计划：</w:t>
      </w:r>
    </w:p>
    <w:p>
      <w:pPr>
        <w:adjustRightInd w:val="0"/>
        <w:snapToGrid w:val="0"/>
        <w:spacing w:line="286" w:lineRule="auto"/>
        <w:rPr>
          <w:color w:val="000000"/>
          <w:sz w:val="18"/>
        </w:rPr>
      </w:pPr>
      <w:r>
        <w:rPr>
          <w:rFonts w:hint="eastAsia"/>
          <w:color w:val="000000"/>
          <w:sz w:val="18"/>
        </w:rPr>
        <w:t>（1）本理财产品余额连续20个工作日低于1亿份；</w:t>
      </w:r>
    </w:p>
    <w:p>
      <w:pPr>
        <w:adjustRightInd w:val="0"/>
        <w:snapToGrid w:val="0"/>
        <w:spacing w:line="286" w:lineRule="auto"/>
        <w:rPr>
          <w:sz w:val="18"/>
          <w:szCs w:val="18"/>
        </w:rPr>
      </w:pPr>
      <w:r>
        <w:rPr>
          <w:rFonts w:hint="eastAsia"/>
          <w:sz w:val="18"/>
          <w:szCs w:val="18"/>
        </w:rPr>
        <w:t>（2）如遇国家金融政策出现重大调整并影响到本产品的正常运行时，温州银行有权提前终止本产品。</w:t>
      </w:r>
    </w:p>
    <w:p>
      <w:pPr>
        <w:adjustRightInd w:val="0"/>
        <w:snapToGrid w:val="0"/>
        <w:spacing w:line="286" w:lineRule="auto"/>
        <w:rPr>
          <w:sz w:val="18"/>
          <w:szCs w:val="18"/>
        </w:rPr>
      </w:pPr>
      <w:r>
        <w:rPr>
          <w:rFonts w:hint="eastAsia"/>
          <w:sz w:val="18"/>
          <w:szCs w:val="18"/>
        </w:rPr>
        <w:t>（3）因本理财产品投向的金融资产所涉及的相关主体信用恶化，市场利率大幅下滑，温州银行合理判断将影响本理财产品正常运作的，或温州银行有合理理由认为出现了影响本理财计划正常运作的其他情形的。</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hint="default" w:ascii="宋体" w:hAnsi="宋体"/>
          <w:color w:val="000000"/>
          <w:sz w:val="18"/>
        </w:rPr>
        <w:t>20021</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4.7% ，该投资运作周期单位累计分红净额0.097。投资运作周期到期清算时，扣除托管费、固定管理费后及其他费用（不含浮动管理费），如产品累计净值为1.1455，此时， (1.1455/1.00-1)×365/1092= 4.86%&gt; 4.7%，即投资收益率超越业绩比较基准，则投资管理人对超过业绩比较基准部分收益收取浮动管理费，浮动管理费为： 100,000.00×[1.1455-1.00×(1+ 4.7%×1092/365)]×50%=244.32（元）。扣除浮动管理费后，客户剩余理财收益为：100,000.00×（1.1455-1.00-0.097）-244.32=4605.68（元），产品投资运作周期到期时，客户本周期获得的实际收益相当于达到年化收益率水平为：（4605.68+100,000.00×0.097）/100,000.00×365/1092=4.78%。</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4.7% ，该投资运作周期单位累计分红净额0.091。投资运作周期到期清算时，扣除托管费、固定管理费及其他费用（不含浮动管理费）后，如产品净值为1.1395，此时，(1.1395/1.00-1)×365/1092=4.66%&lt;4.7%，即投资收益率未达到业绩比较基准，则投资管理人不收取浮动管理费，客户剩余理财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1092天。假设产品业绩比较基准为4.7%，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rFonts w:hint="eastAsia"/>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hint="eastAsia"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1"/>
        </w:numPr>
        <w:adjustRightInd w:val="0"/>
        <w:snapToGrid w:val="0"/>
        <w:spacing w:line="286" w:lineRule="auto"/>
        <w:rPr>
          <w:rFonts w:hint="eastAsia"/>
          <w:sz w:val="18"/>
          <w:szCs w:val="18"/>
        </w:rPr>
      </w:pPr>
      <w:r>
        <w:rPr>
          <w:rFonts w:hint="eastAsia"/>
          <w:sz w:val="18"/>
          <w:szCs w:val="18"/>
        </w:rPr>
        <w:t>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rFonts w:hint="eastAsia"/>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rFonts w:hint="eastAsia"/>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w:t>
      </w:r>
    </w:p>
    <w:p>
      <w:pPr>
        <w:adjustRightInd w:val="0"/>
        <w:snapToGrid w:val="0"/>
        <w:spacing w:line="286" w:lineRule="auto"/>
        <w:rPr>
          <w:rFonts w:hint="eastAsia"/>
          <w:sz w:val="18"/>
          <w:szCs w:val="18"/>
        </w:rPr>
      </w:pPr>
      <w:r>
        <w:rPr>
          <w:rFonts w:hint="eastAsia"/>
          <w:sz w:val="18"/>
          <w:szCs w:val="18"/>
        </w:rPr>
        <w:t>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hint="default" w:ascii="宋体" w:hAnsi="宋体"/>
          <w:color w:val="000000"/>
          <w:sz w:val="18"/>
        </w:rPr>
        <w:t>20021</w:t>
      </w:r>
      <w:r>
        <w:rPr>
          <w:rFonts w:hint="eastAsia"/>
          <w:sz w:val="18"/>
          <w:szCs w:val="18"/>
        </w:rPr>
        <w:t>号开放式净值型银行理财计划风险揭示书》、《温州银行“金鹿理财”银行理财计划合约》、《温州银行“金鹿理财-普惠颐养”</w:t>
      </w:r>
      <w:r>
        <w:rPr>
          <w:rFonts w:hint="default" w:ascii="宋体" w:hAnsi="宋体"/>
          <w:color w:val="000000"/>
          <w:sz w:val="18"/>
        </w:rPr>
        <w:t>20021</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rFonts w:hint="eastAsia"/>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8</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ttH0l93YHgQ2RKrqYg54rGVFKRY=" w:salt="OWk8z1DxRzL2EfkXeu5eTQ=="/>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395D"/>
    <w:rsid w:val="000601A9"/>
    <w:rsid w:val="0006085C"/>
    <w:rsid w:val="00064263"/>
    <w:rsid w:val="00071790"/>
    <w:rsid w:val="000727F8"/>
    <w:rsid w:val="00073067"/>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4FF"/>
    <w:rsid w:val="001D0CE8"/>
    <w:rsid w:val="001D32B6"/>
    <w:rsid w:val="001D6992"/>
    <w:rsid w:val="001D7863"/>
    <w:rsid w:val="001E32A1"/>
    <w:rsid w:val="001E7C2B"/>
    <w:rsid w:val="001F3FDB"/>
    <w:rsid w:val="001F5151"/>
    <w:rsid w:val="001F56DF"/>
    <w:rsid w:val="001F5CBD"/>
    <w:rsid w:val="001F5E12"/>
    <w:rsid w:val="001F6385"/>
    <w:rsid w:val="001F7B5A"/>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3396"/>
    <w:rsid w:val="004D4A91"/>
    <w:rsid w:val="004D7183"/>
    <w:rsid w:val="004E0B32"/>
    <w:rsid w:val="004E1ECE"/>
    <w:rsid w:val="004E259B"/>
    <w:rsid w:val="004E3472"/>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29925A3"/>
    <w:rsid w:val="036F706C"/>
    <w:rsid w:val="06DB06E5"/>
    <w:rsid w:val="0A860334"/>
    <w:rsid w:val="0B2E1408"/>
    <w:rsid w:val="0E4224D6"/>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625426F3"/>
    <w:rsid w:val="64102A57"/>
    <w:rsid w:val="64DB6186"/>
    <w:rsid w:val="65DC2C48"/>
    <w:rsid w:val="68696415"/>
    <w:rsid w:val="686B32F0"/>
    <w:rsid w:val="6B37DFF8"/>
    <w:rsid w:val="6C1D1256"/>
    <w:rsid w:val="6C592131"/>
    <w:rsid w:val="6CA75DD7"/>
    <w:rsid w:val="6CEB63D2"/>
    <w:rsid w:val="731C3643"/>
    <w:rsid w:val="7354733A"/>
    <w:rsid w:val="769C0D96"/>
    <w:rsid w:val="79A903BE"/>
    <w:rsid w:val="7A8D5E63"/>
    <w:rsid w:val="7C002445"/>
    <w:rsid w:val="7C1A5C70"/>
    <w:rsid w:val="7E2730F6"/>
    <w:rsid w:val="7EF472EA"/>
    <w:rsid w:val="7FEE272B"/>
    <w:rsid w:val="B4DDE0FF"/>
    <w:rsid w:val="BFEFBD82"/>
    <w:rsid w:val="CDBC02B5"/>
    <w:rsid w:val="DDE6B92A"/>
    <w:rsid w:val="E73CB198"/>
    <w:rsid w:val="E777AAF9"/>
    <w:rsid w:val="EFFC1F21"/>
    <w:rsid w:val="F99F112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annotation text"/>
    <w:basedOn w:val="1"/>
    <w:link w:val="16"/>
    <w:uiPriority w:val="0"/>
    <w:pPr>
      <w:jc w:val="left"/>
    </w:pPr>
  </w:style>
  <w:style w:type="paragraph" w:styleId="3">
    <w:name w:val="Balloon Text"/>
    <w:basedOn w:val="1"/>
    <w:link w:val="15"/>
    <w:uiPriority w:val="0"/>
    <w:rPr>
      <w:sz w:val="18"/>
      <w:szCs w:val="18"/>
    </w:rPr>
  </w:style>
  <w:style w:type="paragraph" w:styleId="4">
    <w:name w:val="footer"/>
    <w:basedOn w:val="1"/>
    <w:link w:val="12"/>
    <w:uiPriority w:val="99"/>
    <w:pPr>
      <w:tabs>
        <w:tab w:val="center" w:pos="4153"/>
        <w:tab w:val="right" w:pos="8306"/>
      </w:tabs>
      <w:snapToGrid w:val="0"/>
      <w:jc w:val="left"/>
    </w:pPr>
    <w:rPr>
      <w:sz w:val="18"/>
      <w:szCs w:val="18"/>
    </w:rPr>
  </w:style>
  <w:style w:type="paragraph" w:styleId="5">
    <w:name w:val="header"/>
    <w:basedOn w:val="1"/>
    <w:link w:val="14"/>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uiPriority w:val="99"/>
    <w:rPr>
      <w:sz w:val="24"/>
    </w:rPr>
  </w:style>
  <w:style w:type="paragraph" w:styleId="7">
    <w:name w:val="annotation subject"/>
    <w:basedOn w:val="2"/>
    <w:next w:val="2"/>
    <w:link w:val="13"/>
    <w:uiPriority w:val="0"/>
    <w:rPr>
      <w:b/>
      <w:bCs/>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iPriority w:val="0"/>
    <w:rPr>
      <w:sz w:val="21"/>
      <w:szCs w:val="21"/>
    </w:rPr>
  </w:style>
  <w:style w:type="character" w:customStyle="1" w:styleId="12">
    <w:name w:val="页脚 字符"/>
    <w:link w:val="4"/>
    <w:uiPriority w:val="99"/>
    <w:rPr>
      <w:kern w:val="2"/>
      <w:sz w:val="18"/>
      <w:szCs w:val="18"/>
    </w:rPr>
  </w:style>
  <w:style w:type="character" w:customStyle="1" w:styleId="13">
    <w:name w:val="批注主题 字符"/>
    <w:link w:val="7"/>
    <w:uiPriority w:val="0"/>
    <w:rPr>
      <w:b/>
      <w:bCs/>
      <w:kern w:val="2"/>
      <w:sz w:val="21"/>
    </w:rPr>
  </w:style>
  <w:style w:type="character" w:customStyle="1" w:styleId="14">
    <w:name w:val="页眉 字符"/>
    <w:link w:val="5"/>
    <w:uiPriority w:val="0"/>
    <w:rPr>
      <w:kern w:val="2"/>
      <w:sz w:val="18"/>
      <w:szCs w:val="18"/>
    </w:rPr>
  </w:style>
  <w:style w:type="character" w:customStyle="1" w:styleId="15">
    <w:name w:val="批注框文本 字符"/>
    <w:link w:val="3"/>
    <w:uiPriority w:val="0"/>
    <w:rPr>
      <w:kern w:val="2"/>
      <w:sz w:val="18"/>
      <w:szCs w:val="18"/>
    </w:rPr>
  </w:style>
  <w:style w:type="character" w:customStyle="1" w:styleId="16">
    <w:name w:val="批注文字 字符"/>
    <w:link w:val="2"/>
    <w:uiPriority w:val="0"/>
    <w:rPr>
      <w:kern w:val="2"/>
      <w:sz w:val="21"/>
    </w:rPr>
  </w:style>
  <w:style w:type="paragraph" w:customStyle="1" w:styleId="17">
    <w:name w:val="_Style 16"/>
    <w:unhideWhenUsed/>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 Char"/>
    <w:basedOn w:val="1"/>
    <w:uiPriority w:val="0"/>
    <w:rPr>
      <w:rFonts w:ascii="仿宋_GB2312" w:eastAsia="仿宋_GB2312"/>
      <w:b/>
      <w:sz w:val="32"/>
      <w:szCs w:val="32"/>
    </w:rPr>
  </w:style>
  <w:style w:type="paragraph" w:customStyle="1" w:styleId="20">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
    <w:basedOn w:val="1"/>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11</Pages>
  <Words>2674</Words>
  <Characters>15243</Characters>
  <Lines>127</Lines>
  <Paragraphs>35</Paragraphs>
  <TotalTime>26</TotalTime>
  <ScaleCrop>false</ScaleCrop>
  <LinksUpToDate>false</LinksUpToDate>
  <CharactersWithSpaces>17882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2022-03-02T10:57:00Z</dcterms:created>
  <dc:creator>潘伟蕾</dc:creator>
  <cp:lastModifiedBy>应心茹</cp:lastModifiedBy>
  <cp:lastPrinted>2012-11-28T10:11:00Z</cp:lastPrinted>
  <dcterms:modified xsi:type="dcterms:W3CDTF">2023-10-07T02:35:31Z</dcterms:modified>
  <dc:title>附件1：</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