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温州银行“金鹿理财-温盈”</w:t>
      </w:r>
      <w:r>
        <w:rPr>
          <w:rFonts w:hint="eastAsia" w:ascii="黑体" w:eastAsia="黑体"/>
          <w:color w:val="000000"/>
          <w:sz w:val="30"/>
          <w:szCs w:val="30"/>
          <w:u w:val="single"/>
        </w:rPr>
        <w:t>20069</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color w:val="000000"/>
          <w:szCs w:val="21"/>
          <w:u w:val="single"/>
        </w:rPr>
        <w:t>20069</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rPr>
        <w:t>“金鹿理财-温盈”20069号开放式净值</w:t>
      </w:r>
      <w:r>
        <w:rPr>
          <w:rFonts w:hint="eastAsia"/>
          <w:szCs w:val="21"/>
        </w:rPr>
        <w:t>型（第i期）银行理财计划开放认购（申购）申请书》约定为准。根据温</w:t>
      </w:r>
      <w:r>
        <w:rPr>
          <w:rFonts w:hint="eastAsia" w:ascii="宋体" w:hAnsi="宋体"/>
          <w:szCs w:val="21"/>
        </w:rPr>
        <w:t>州银行内部风险评级标准，该产品的风险等级为</w:t>
      </w:r>
      <w:r>
        <w:rPr>
          <w:rFonts w:hint="eastAsia" w:ascii="宋体" w:hAnsi="宋体"/>
          <w:szCs w:val="21"/>
          <w:u w:val="single"/>
        </w:rPr>
        <w:t>PR2级</w:t>
      </w:r>
      <w:r>
        <w:rPr>
          <w:rFonts w:hint="eastAsia" w:ascii="宋体" w:hAnsi="宋体"/>
          <w:szCs w:val="21"/>
        </w:rPr>
        <w:t>（稳健型）：总体风险程度较低，银行不承诺本金保障但本金损失可能性很小，产品收益随投资表现变动。本理财产品适合客户：经温州银行评估为稳健型、平衡型、进取型、激进型的个人投资者。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color w:val="000000"/>
          <w:szCs w:val="21"/>
        </w:rPr>
        <w:t>三、本风险揭示书及《温州银行“金鹿理财-温盈”20069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温盈”20069号开放式净值型银行理财计划产品说明书》、《温州银行“金鹿理财-温盈”20069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color w:val="000000"/>
          <w:sz w:val="30"/>
          <w:szCs w:val="30"/>
          <w:u w:val="single"/>
        </w:rPr>
        <w:t>20069</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温盈”20069号开放式净值型银行理财计划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color w:val="000000"/>
                <w:sz w:val="18"/>
                <w:szCs w:val="18"/>
                <w:u w:val="single"/>
              </w:rPr>
              <w:t>20069</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color w:val="000000"/>
                <w:sz w:val="18"/>
                <w:szCs w:val="18"/>
              </w:rPr>
              <w:t>YJ2069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C1092220000300</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根据温州银行内部风险评级标准，本产品的风险等级为PR2级（稳健型）：总体风险程度较低，银行不承诺本金保障但本金损失可能性很小，产品收益随投资表现变动。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rPr>
              <w:t>2020年9月30日至2020年10月8日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首个投资运作周期的业绩比较基准为4.3%（年化）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本理财计划成立日为2020年10月9日。温州银行有权根据实际募集情况选择产品提前成立，若温州银行采取以上措施，温州银行将就产品相应要素的调整事宜于提前成立日前的一个工作日在温州银行网站予以公告。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color w:val="000000"/>
                <w:sz w:val="18"/>
              </w:rPr>
              <w:t>369</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369</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color w:val="000000"/>
                <w:sz w:val="18"/>
                <w:szCs w:val="18"/>
              </w:rPr>
              <w:t>《温州银行“金鹿理财-温盈”20069号开放式净值型（第i期）银行理财计划开放认购（申购）申请书》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千份的整数倍。单户累计最大购买金额2000万元。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1、投资对象</w:t>
      </w:r>
    </w:p>
    <w:p>
      <w:pPr>
        <w:adjustRightInd w:val="0"/>
        <w:snapToGrid w:val="0"/>
        <w:spacing w:line="300" w:lineRule="auto"/>
        <w:rPr>
          <w:sz w:val="18"/>
          <w:szCs w:val="18"/>
        </w:rPr>
      </w:pPr>
      <w:r>
        <w:rPr>
          <w:rFonts w:hint="eastAsia"/>
          <w:sz w:val="18"/>
          <w:szCs w:val="18"/>
        </w:rPr>
        <w:t>本产品为固定收益类理财产品，温州银行将理财产品募集资金直接或间接配置于存款、债券回购、货币市场工具、债券等债权类资产，包括但不限于银行间市场和证券交易所市场债权性资产、固定收益类非标准化债权资产、资产管理计划、信托计划及其他符合监管要求的债权类资产等投资标的，部分可投资于权益类资产。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081"/>
        <w:gridCol w:w="5616"/>
        <w:gridCol w:w="1703"/>
      </w:tblGrid>
      <w:tr>
        <w:tblPrEx>
          <w:tblCellMar>
            <w:top w:w="0" w:type="dxa"/>
            <w:left w:w="108" w:type="dxa"/>
            <w:bottom w:w="0" w:type="dxa"/>
            <w:right w:w="108" w:type="dxa"/>
          </w:tblCellMar>
        </w:tblPrEx>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61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08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符合监管要求的权益类资产　</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b/>
          <w:bCs/>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理财产品投资所涉及的证券交易所遇法定节假日或其他原因暂停营业时，或因任何不可抗力致使无法准确评估资产价值时，或存在中国银保监会认定的导致无法准确估值的其它情形时，可暂停估值，由此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color w:val="000000"/>
          <w:sz w:val="18"/>
          <w:szCs w:val="18"/>
        </w:rPr>
        <w:t>《温州银行“金鹿理财-温盈”20069号开放式净值型（第i期）银行理财计划开放认购（申购）申请书》。投资运作周期到期时，该周期内的资金收益情况根据所投资资产组合的实际运作情况确定。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：本理财计划成立日为2020年10月9日，从成立日起，每</w:t>
      </w:r>
      <w:r>
        <w:rPr>
          <w:rFonts w:ascii="宋体" w:hAnsi="宋体"/>
          <w:sz w:val="18"/>
        </w:rPr>
        <w:t>【</w:t>
      </w:r>
      <w:r>
        <w:rPr>
          <w:rFonts w:hint="eastAsia" w:ascii="宋体" w:hAnsi="宋体"/>
          <w:color w:val="000000"/>
          <w:sz w:val="18"/>
        </w:rPr>
        <w:t>369</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369</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r>
        <w:rPr>
          <w:sz w:val="18"/>
          <w:szCs w:val="18"/>
        </w:rPr>
        <w:t xml:space="preserve"> </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）投资者可于开放期内向温州银行提出赎回申请，温州银行按照先申请、先赎回原则确认赎回申请，如该赎回日内净赎回份额合计超过理财产品总份额的2</w:t>
      </w:r>
      <w:r>
        <w:rPr>
          <w:sz w:val="18"/>
          <w:szCs w:val="18"/>
        </w:rPr>
        <w:t>0%，则发生</w:t>
      </w:r>
      <w:r>
        <w:rPr>
          <w:rFonts w:hint="eastAsia"/>
          <w:sz w:val="18"/>
          <w:szCs w:val="18"/>
        </w:rPr>
        <w:t>巨额赎回事件，温州银行有权拒绝接受超过2</w:t>
      </w:r>
      <w:r>
        <w:rPr>
          <w:sz w:val="18"/>
          <w:szCs w:val="18"/>
        </w:rPr>
        <w:t>0%以上部分的赎回申请。</w:t>
      </w:r>
    </w:p>
    <w:p>
      <w:pPr>
        <w:adjustRightInd w:val="0"/>
        <w:snapToGrid w:val="0"/>
        <w:spacing w:line="286" w:lineRule="auto"/>
        <w:rPr>
          <w:sz w:val="18"/>
          <w:szCs w:val="18"/>
        </w:rPr>
      </w:pPr>
      <w:r>
        <w:rPr>
          <w:rFonts w:hint="eastAsia"/>
          <w:sz w:val="18"/>
          <w:szCs w:val="18"/>
        </w:rPr>
        <w:t>示例：如果最新理财计划总存续份额为1</w:t>
      </w:r>
      <w:r>
        <w:rPr>
          <w:sz w:val="18"/>
          <w:szCs w:val="18"/>
        </w:rPr>
        <w:t>0</w:t>
      </w:r>
      <w:r>
        <w:rPr>
          <w:rFonts w:hint="eastAsia"/>
          <w:sz w:val="18"/>
          <w:szCs w:val="18"/>
        </w:rPr>
        <w:t>亿份，在开放期内投资者净赎回达到</w:t>
      </w:r>
      <w:r>
        <w:rPr>
          <w:sz w:val="18"/>
          <w:szCs w:val="18"/>
        </w:rPr>
        <w:t>2</w:t>
      </w:r>
      <w:r>
        <w:rPr>
          <w:rFonts w:hint="eastAsia"/>
          <w:sz w:val="18"/>
          <w:szCs w:val="18"/>
        </w:rPr>
        <w:t>亿份，温州银行有权拒绝确认</w:t>
      </w:r>
      <w:r>
        <w:rPr>
          <w:sz w:val="18"/>
          <w:szCs w:val="18"/>
        </w:rPr>
        <w:t>2</w:t>
      </w:r>
      <w:r>
        <w:rPr>
          <w:rFonts w:hint="eastAsia"/>
          <w:sz w:val="18"/>
          <w:szCs w:val="18"/>
        </w:rPr>
        <w:t>亿份之后的赎回申请，相应的投资者当期无法赎回理财计划份额。</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val="en-US" w:eastAsia="zh-Hans"/>
        </w:rPr>
        <w:t>千</w:t>
      </w:r>
      <w:r>
        <w:rPr>
          <w:rFonts w:hint="eastAsia"/>
          <w:sz w:val="18"/>
          <w:szCs w:val="18"/>
        </w:rPr>
        <w:t>元或人民币</w:t>
      </w:r>
      <w:r>
        <w:rPr>
          <w:sz w:val="18"/>
          <w:szCs w:val="18"/>
        </w:rPr>
        <w:t>1</w:t>
      </w:r>
      <w:r>
        <w:rPr>
          <w:rFonts w:hint="eastAsia"/>
          <w:sz w:val="18"/>
          <w:szCs w:val="18"/>
          <w:lang w:val="en-US"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sz w:val="18"/>
          <w:szCs w:val="18"/>
        </w:rPr>
        <w:t>5.</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6</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【终止（提前终止）】</w:t>
      </w:r>
    </w:p>
    <w:p>
      <w:pPr>
        <w:adjustRightInd w:val="0"/>
        <w:snapToGrid w:val="0"/>
        <w:spacing w:line="286" w:lineRule="auto"/>
        <w:rPr>
          <w:sz w:val="18"/>
          <w:szCs w:val="18"/>
        </w:rPr>
      </w:pPr>
      <w:r>
        <w:rPr>
          <w:rFonts w:hint="eastAsia"/>
          <w:color w:val="000000"/>
          <w:sz w:val="18"/>
          <w:szCs w:val="18"/>
        </w:rPr>
        <w:t>本产品预计到期终止日为2030年10月9日</w:t>
      </w:r>
      <w:r>
        <w:rPr>
          <w:rFonts w:hint="eastAsia"/>
          <w:color w:val="000000"/>
          <w:sz w:val="18"/>
        </w:rPr>
        <w:t>，</w:t>
      </w:r>
      <w:r>
        <w:rPr>
          <w:rFonts w:hint="eastAsia"/>
          <w:sz w:val="18"/>
          <w:szCs w:val="18"/>
        </w:rPr>
        <w:t>如遇国家金融政策出现重大调整并影响到本产品的正常运行或温州银行有合理理由认为将影响本理财计划正常运作的其他情形时，银行有权但无义务提前终止本产品。</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20%，则发生巨额赎回事件，温州银行有权拒绝接受超过20%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1"/>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76" w:lineRule="auto"/>
        <w:rPr>
          <w:b/>
          <w:sz w:val="18"/>
          <w:szCs w:val="18"/>
        </w:rPr>
      </w:pPr>
      <w:r>
        <w:rPr>
          <w:rFonts w:hint="eastAsia"/>
          <w:sz w:val="18"/>
          <w:szCs w:val="18"/>
        </w:rPr>
        <w:t>温州银行对投资者所签署理财相关协议及其条款负有保密义务。温州银行将依据相关法律、法规严格履行投资者信息保密责任，除监管机构或司法机关等有权机构外，不得对其他第三方商业机构提供投资者信息。</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color w:val="000000"/>
          <w:sz w:val="18"/>
          <w:szCs w:val="18"/>
        </w:rPr>
        <w:t>（3）《温州银行“金鹿理财-温盈”20069号开放式净值型银行理财计划风险揭示书》、《温州银行“金鹿理财”银行理财计划合约》、《温州银行“金鹿理财-温盈”20069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6</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10</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YZ36QzsnCnGhQ+EqhRzZSJBfRwg=" w:salt="FPaSHWFYVhH8jdc1BAWMcA=="/>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914E7"/>
    <w:rsid w:val="000A000E"/>
    <w:rsid w:val="000A6768"/>
    <w:rsid w:val="000A76AD"/>
    <w:rsid w:val="000B6643"/>
    <w:rsid w:val="000C4E56"/>
    <w:rsid w:val="000E4DFB"/>
    <w:rsid w:val="001174B1"/>
    <w:rsid w:val="001327C2"/>
    <w:rsid w:val="001513E8"/>
    <w:rsid w:val="00172A27"/>
    <w:rsid w:val="00174C1E"/>
    <w:rsid w:val="00175BC0"/>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78AD"/>
    <w:rsid w:val="004F56C1"/>
    <w:rsid w:val="0050183B"/>
    <w:rsid w:val="00514DB5"/>
    <w:rsid w:val="005236A4"/>
    <w:rsid w:val="00526355"/>
    <w:rsid w:val="00541381"/>
    <w:rsid w:val="00543E6B"/>
    <w:rsid w:val="005447D7"/>
    <w:rsid w:val="0054786A"/>
    <w:rsid w:val="00565D6D"/>
    <w:rsid w:val="00595828"/>
    <w:rsid w:val="005D00A7"/>
    <w:rsid w:val="005F0ADF"/>
    <w:rsid w:val="00606B12"/>
    <w:rsid w:val="00635890"/>
    <w:rsid w:val="006371D5"/>
    <w:rsid w:val="00645D61"/>
    <w:rsid w:val="00670ACF"/>
    <w:rsid w:val="00680B55"/>
    <w:rsid w:val="006871D5"/>
    <w:rsid w:val="006940BB"/>
    <w:rsid w:val="006A44DB"/>
    <w:rsid w:val="006A4DCA"/>
    <w:rsid w:val="006E0989"/>
    <w:rsid w:val="006E7B4A"/>
    <w:rsid w:val="0071552D"/>
    <w:rsid w:val="00716CFC"/>
    <w:rsid w:val="0072441B"/>
    <w:rsid w:val="007418E8"/>
    <w:rsid w:val="007420B8"/>
    <w:rsid w:val="00751573"/>
    <w:rsid w:val="00781E33"/>
    <w:rsid w:val="007946C3"/>
    <w:rsid w:val="007A0DD0"/>
    <w:rsid w:val="007A2668"/>
    <w:rsid w:val="007B319B"/>
    <w:rsid w:val="007B43C7"/>
    <w:rsid w:val="007B4F0A"/>
    <w:rsid w:val="007D5309"/>
    <w:rsid w:val="007D6AB9"/>
    <w:rsid w:val="007D74E0"/>
    <w:rsid w:val="007E78B8"/>
    <w:rsid w:val="0080322B"/>
    <w:rsid w:val="0083490C"/>
    <w:rsid w:val="008507F2"/>
    <w:rsid w:val="00853209"/>
    <w:rsid w:val="008538DA"/>
    <w:rsid w:val="008603CA"/>
    <w:rsid w:val="00864A10"/>
    <w:rsid w:val="00875641"/>
    <w:rsid w:val="00883377"/>
    <w:rsid w:val="00883BDE"/>
    <w:rsid w:val="00884B07"/>
    <w:rsid w:val="008A085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63935"/>
    <w:rsid w:val="00A7512B"/>
    <w:rsid w:val="00A75676"/>
    <w:rsid w:val="00A85414"/>
    <w:rsid w:val="00A94352"/>
    <w:rsid w:val="00AA0BCA"/>
    <w:rsid w:val="00AA235B"/>
    <w:rsid w:val="00AA798B"/>
    <w:rsid w:val="00AB07C5"/>
    <w:rsid w:val="00AB1240"/>
    <w:rsid w:val="00AB4C88"/>
    <w:rsid w:val="00AB5E02"/>
    <w:rsid w:val="00AC0326"/>
    <w:rsid w:val="00AC4F2E"/>
    <w:rsid w:val="00AF3269"/>
    <w:rsid w:val="00B1785B"/>
    <w:rsid w:val="00B21C5E"/>
    <w:rsid w:val="00B72700"/>
    <w:rsid w:val="00B9709A"/>
    <w:rsid w:val="00BB746A"/>
    <w:rsid w:val="00BF2243"/>
    <w:rsid w:val="00BF4706"/>
    <w:rsid w:val="00C027A1"/>
    <w:rsid w:val="00C0532A"/>
    <w:rsid w:val="00C059F8"/>
    <w:rsid w:val="00C242A5"/>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7EC55A4"/>
    <w:rsid w:val="0E697CA7"/>
    <w:rsid w:val="0F1A3EC9"/>
    <w:rsid w:val="0F3A26CB"/>
    <w:rsid w:val="10D46D68"/>
    <w:rsid w:val="110A015B"/>
    <w:rsid w:val="11AD367A"/>
    <w:rsid w:val="12AF54F8"/>
    <w:rsid w:val="12C37B94"/>
    <w:rsid w:val="12C50DEC"/>
    <w:rsid w:val="15217A25"/>
    <w:rsid w:val="17277EF5"/>
    <w:rsid w:val="17D47E76"/>
    <w:rsid w:val="1A0C55B0"/>
    <w:rsid w:val="1A433010"/>
    <w:rsid w:val="1B042A21"/>
    <w:rsid w:val="1B791582"/>
    <w:rsid w:val="1B8D49E4"/>
    <w:rsid w:val="1E9802D8"/>
    <w:rsid w:val="1FF86756"/>
    <w:rsid w:val="21716EFD"/>
    <w:rsid w:val="228F020A"/>
    <w:rsid w:val="243D7238"/>
    <w:rsid w:val="25385D7F"/>
    <w:rsid w:val="25D455A1"/>
    <w:rsid w:val="284D2E1D"/>
    <w:rsid w:val="306F7311"/>
    <w:rsid w:val="31253F01"/>
    <w:rsid w:val="33157C11"/>
    <w:rsid w:val="34B42407"/>
    <w:rsid w:val="35EA1207"/>
    <w:rsid w:val="36E42715"/>
    <w:rsid w:val="382F302B"/>
    <w:rsid w:val="38747519"/>
    <w:rsid w:val="38E45900"/>
    <w:rsid w:val="39C8686F"/>
    <w:rsid w:val="3BE35F9B"/>
    <w:rsid w:val="3F063D4E"/>
    <w:rsid w:val="3FC979F3"/>
    <w:rsid w:val="40076C80"/>
    <w:rsid w:val="42A87CFF"/>
    <w:rsid w:val="47F32BE2"/>
    <w:rsid w:val="497C717E"/>
    <w:rsid w:val="49815F2A"/>
    <w:rsid w:val="49C633C6"/>
    <w:rsid w:val="4A2E173D"/>
    <w:rsid w:val="4ABC78E8"/>
    <w:rsid w:val="4ED34292"/>
    <w:rsid w:val="4FC865FE"/>
    <w:rsid w:val="524916E3"/>
    <w:rsid w:val="55312E83"/>
    <w:rsid w:val="55CE1987"/>
    <w:rsid w:val="55EF3F6F"/>
    <w:rsid w:val="576363EF"/>
    <w:rsid w:val="58780E48"/>
    <w:rsid w:val="58E62499"/>
    <w:rsid w:val="59647D3E"/>
    <w:rsid w:val="5A250F91"/>
    <w:rsid w:val="5CC812FA"/>
    <w:rsid w:val="5CCC65F5"/>
    <w:rsid w:val="5E821239"/>
    <w:rsid w:val="5F650D3C"/>
    <w:rsid w:val="61AE7F1D"/>
    <w:rsid w:val="637E1589"/>
    <w:rsid w:val="658E5B8D"/>
    <w:rsid w:val="686A13AA"/>
    <w:rsid w:val="6D657193"/>
    <w:rsid w:val="6F0A3BD3"/>
    <w:rsid w:val="73E45411"/>
    <w:rsid w:val="74B84FF6"/>
    <w:rsid w:val="75F7452C"/>
    <w:rsid w:val="769A561B"/>
    <w:rsid w:val="77D232A2"/>
    <w:rsid w:val="78115854"/>
    <w:rsid w:val="7BF13C4F"/>
    <w:rsid w:val="7DDE5540"/>
    <w:rsid w:val="7DE500BC"/>
    <w:rsid w:val="7E1750DA"/>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iPriority="9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uiPriority w:val="1"/>
  </w:style>
  <w:style w:type="table" w:default="1" w:styleId="8">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10</Pages>
  <Words>2343</Words>
  <Characters>13358</Characters>
  <Lines>111</Lines>
  <Paragraphs>31</Paragraphs>
  <TotalTime>11</TotalTime>
  <ScaleCrop>false</ScaleCrop>
  <LinksUpToDate>false</LinksUpToDate>
  <CharactersWithSpaces>15670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应心茹</cp:lastModifiedBy>
  <cp:lastPrinted>2016-09-02T23:01:00Z</cp:lastPrinted>
  <dcterms:modified xsi:type="dcterms:W3CDTF">2023-10-16T06:35:49Z</dcterms:modified>
  <dc:title>温州银行“金鹿理财-温盈”1号银行理财计划风险揭示书</dc:title>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ies>
</file>