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19047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“金鹿理财-温盈”19047号开放式净值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19047号开放式净值型银行理财计划产品说明书》、《温州银行“金鹿理财-温盈”19047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2019年12月26日至2020年1月1日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：本理财计划成立日为2020年1月2日，从成立日起，每</w:t>
      </w:r>
      <w:r>
        <w:rPr>
          <w:rFonts w:ascii="宋体" w:hAnsi="宋体"/>
          <w:sz w:val="18"/>
        </w:rPr>
        <w:t>【</w:t>
      </w:r>
      <w:r>
        <w:rPr>
          <w:rFonts w:hint="eastAsia" w:ascii="宋体" w:hAnsi="宋体"/>
          <w:color w:val="000000"/>
          <w:sz w:val="18"/>
        </w:rPr>
        <w:t>281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本产品预计到期终止日为2030年1月2日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19047号开放式净值型银行理财计划风险揭示书》、《温州银行“金鹿理财”银行理财计划合约》、《温州银行“金鹿理财-温盈”19047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7nERyFUoWnTWX/f0zTtcfp7FmAg=" w:salt="eoCiJJCRq6X822dspowIb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6D00E63"/>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2023-10-19T09:30:49Z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