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普惠颐养”20023号开放式净值型</w:t>
      </w:r>
    </w:p>
    <w:bookmarkEnd w:id="0"/>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2023年10月25日至2023年10月31日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2024年10月30日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2026年10月21日</w:t>
            </w:r>
            <w:r>
              <w:rPr>
                <w:rFonts w:hint="eastAsia" w:ascii="宋体" w:hAnsi="宋体" w:eastAsia="宋体" w:cs="Times New Roman"/>
                <w:color w:val="000000"/>
                <w:kern w:val="0"/>
                <w:sz w:val="18"/>
                <w:szCs w:val="18"/>
                <w:u w:val="single"/>
                <w:lang w:val="en-US" w:eastAsia="zh-Hans" w:bidi="ar-SA"/>
              </w:rPr>
              <w:t>至2026年10月27日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20023号开放式净值型银行理财计划风险揭示书》、《温州银行“金鹿理财-普惠颐养”20023号开放式净值型银行理财计划产品说明书》、《温州银行“金鹿理财-普惠颐养”20023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8mZgZBx/DArk27xiMl66zltum0=" w:salt="tDGhw6IX4sOK31ATXUMD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C942F7E"/>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2023-10-19T06:25:32Z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