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highlight w:val="none"/>
        </w:rPr>
      </w:pPr>
      <w:r>
        <w:rPr>
          <w:rFonts w:hint="eastAsia" w:ascii="黑体" w:eastAsia="黑体"/>
          <w:sz w:val="30"/>
          <w:szCs w:val="30"/>
          <w:highlight w:val="none"/>
        </w:rPr>
        <w:t>温州银行“金鹿理财-普惠季享”</w:t>
      </w:r>
      <w:r>
        <w:rPr>
          <w:rFonts w:hint="default" w:ascii="黑体" w:eastAsia="黑体"/>
          <w:color w:val="000000"/>
          <w:sz w:val="30"/>
          <w:szCs w:val="30"/>
          <w:highlight w:val="none"/>
          <w:u w:val="single"/>
        </w:rPr>
        <w:t>23021</w:t>
      </w:r>
      <w:r>
        <w:rPr>
          <w:rFonts w:hint="eastAsia" w:ascii="黑体" w:eastAsia="黑体"/>
          <w:sz w:val="30"/>
          <w:szCs w:val="30"/>
          <w:highlight w:val="none"/>
        </w:rPr>
        <w:t>号（稳健低波款）银行理财计划风险揭示书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您将认购的温州银行“金鹿理财</w:t>
      </w:r>
      <w:r>
        <w:rPr>
          <w:rFonts w:hint="eastAsia" w:ascii="宋体" w:hAnsi="宋体"/>
          <w:szCs w:val="21"/>
          <w:highlight w:val="none"/>
        </w:rPr>
        <w:t>-</w:t>
      </w:r>
      <w:r>
        <w:rPr>
          <w:rFonts w:hint="eastAsia"/>
          <w:szCs w:val="21"/>
          <w:highlight w:val="none"/>
        </w:rPr>
        <w:t>普惠季享”</w:t>
      </w:r>
      <w:r>
        <w:rPr>
          <w:rFonts w:hint="default"/>
          <w:color w:val="000000"/>
          <w:szCs w:val="21"/>
          <w:highlight w:val="none"/>
          <w:u w:val="single"/>
        </w:rPr>
        <w:t>23021</w:t>
      </w:r>
      <w:r>
        <w:rPr>
          <w:rFonts w:hint="eastAsia"/>
          <w:szCs w:val="21"/>
          <w:highlight w:val="none"/>
        </w:rPr>
        <w:t>号（稳健低波款）银行理财计划，投资类型属于</w:t>
      </w:r>
      <w:r>
        <w:rPr>
          <w:rFonts w:hint="eastAsia"/>
          <w:szCs w:val="21"/>
          <w:highlight w:val="none"/>
          <w:u w:val="single"/>
        </w:rPr>
        <w:t>固定收益类理财产品</w:t>
      </w:r>
      <w:r>
        <w:rPr>
          <w:rFonts w:hint="eastAsia"/>
          <w:szCs w:val="21"/>
          <w:highlight w:val="none"/>
        </w:rPr>
        <w:t>，收益类型为</w:t>
      </w:r>
      <w:r>
        <w:rPr>
          <w:rFonts w:hint="eastAsia"/>
          <w:szCs w:val="21"/>
          <w:highlight w:val="none"/>
          <w:u w:val="single"/>
        </w:rPr>
        <w:t>非保本浮动收益型</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highlight w:val="none"/>
          <w:u w:val="single"/>
          <w:lang w:val="en-US" w:eastAsia="zh-CN"/>
        </w:rPr>
        <w:t>399</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（稳健型）：总体风险程度较低，银行不承诺本金保障但本金损失可能性很小，产品收益随投资表现变动。</w:t>
      </w:r>
      <w:r>
        <w:rPr>
          <w:rFonts w:hint="eastAsia" w:ascii="宋体" w:hAnsi="宋体"/>
          <w:szCs w:val="21"/>
          <w:highlight w:val="none"/>
        </w:rPr>
        <w:t>本理财产品适合客户：经温州银行评估为稳健型、平衡型、进取型、激进型的新签约个人投资者或定向邀约的客户群体。</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w:t>
      </w:r>
      <w:bookmarkStart w:id="0" w:name="_GoBack"/>
      <w:bookmarkEnd w:id="0"/>
      <w:r>
        <w:rPr>
          <w:rFonts w:hint="eastAsia" w:ascii="宋体" w:hAnsi="宋体"/>
          <w:szCs w:val="21"/>
          <w:highlight w:val="none"/>
        </w:rPr>
        <w:t>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三、本风险揭示书及《温州银行“金鹿理财-普惠季享”</w:t>
      </w:r>
      <w:r>
        <w:rPr>
          <w:rFonts w:hint="default" w:ascii="宋体"/>
          <w:color w:val="000000"/>
          <w:szCs w:val="21"/>
          <w:highlight w:val="none"/>
          <w:u w:val="single"/>
        </w:rPr>
        <w:t>23021</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default" w:ascii="宋体"/>
          <w:color w:val="000000"/>
          <w:szCs w:val="21"/>
          <w:highlight w:val="none"/>
          <w:u w:val="single"/>
        </w:rPr>
        <w:t>23021</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hint="eastAsia"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6"/>
        <w:adjustRightInd w:val="0"/>
        <w:snapToGrid w:val="0"/>
        <w:spacing w:before="0" w:beforeAutospacing="0" w:after="0" w:afterAutospacing="0" w:line="360" w:lineRule="auto"/>
        <w:jc w:val="center"/>
        <w:rPr>
          <w:rFonts w:hint="eastAsia" w:ascii="黑体" w:eastAsia="黑体"/>
          <w:bCs/>
          <w:sz w:val="30"/>
          <w:szCs w:val="30"/>
          <w:highlight w:val="none"/>
        </w:rPr>
      </w:pPr>
    </w:p>
    <w:p>
      <w:pPr>
        <w:pStyle w:val="16"/>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温州银行“金鹿理财-普惠季享”</w:t>
      </w:r>
      <w:r>
        <w:rPr>
          <w:rFonts w:hint="default" w:ascii="黑体" w:eastAsia="黑体"/>
          <w:color w:val="000000"/>
          <w:sz w:val="30"/>
          <w:szCs w:val="30"/>
          <w:highlight w:val="none"/>
          <w:u w:val="single"/>
        </w:rPr>
        <w:t>23021</w:t>
      </w:r>
      <w:r>
        <w:rPr>
          <w:rFonts w:hint="eastAsia" w:ascii="黑体" w:eastAsia="黑体"/>
          <w:bCs/>
          <w:sz w:val="30"/>
          <w:szCs w:val="30"/>
          <w:highlight w:val="none"/>
        </w:rPr>
        <w:t>号（稳健低波款）</w:t>
      </w:r>
    </w:p>
    <w:p>
      <w:pPr>
        <w:pStyle w:val="16"/>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rFonts w:hint="eastAsia"/>
          <w:sz w:val="18"/>
          <w:szCs w:val="18"/>
          <w:highlight w:val="none"/>
        </w:rPr>
      </w:pPr>
      <w:r>
        <w:rPr>
          <w:rFonts w:hint="eastAsia"/>
          <w:sz w:val="18"/>
          <w:szCs w:val="18"/>
          <w:highlight w:val="none"/>
        </w:rPr>
        <w:t>本产品适合于经温州银行评估为稳健型、平衡型、进取型、激进型的新签约个人投资者或定向邀约的客户群体。</w:t>
      </w:r>
    </w:p>
    <w:p>
      <w:pPr>
        <w:adjustRightInd w:val="0"/>
        <w:snapToGrid w:val="0"/>
        <w:spacing w:line="300"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rFonts w:hint="eastAsia"/>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普惠季享”</w:t>
      </w:r>
      <w:r>
        <w:rPr>
          <w:rFonts w:hint="default"/>
          <w:color w:val="000000"/>
          <w:sz w:val="18"/>
          <w:szCs w:val="18"/>
          <w:highlight w:val="none"/>
        </w:rPr>
        <w:t>23021</w:t>
      </w:r>
      <w:r>
        <w:rPr>
          <w:rFonts w:hint="eastAsia"/>
          <w:sz w:val="18"/>
          <w:szCs w:val="18"/>
          <w:highlight w:val="none"/>
        </w:rPr>
        <w:t>号（稳健低波款）银行理财计划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upright="1"/>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upright="1"/>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CoeA3j1wAAAAUBAAAPAAAAAAAAAAEAIAAAACIAAABkcnMv&#10;ZG93bnJldi54bWxQSwECFAAUAAAACACHTuJAr/tD2QUEAAAVFQAADgAAAAAAAAABACAAAAAmAQAA&#10;ZHJzL2Uyb0RvYy54bWxQSwUGAAAAAAYABgBZAQAAnQc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UIkPzWAAAABQEAAA8AAAAAAAAAAQAgAAAAIgAAAGRycy9kb3ducmV2&#10;LnhtbFBLAQIUABQAAAAIAIdO4kClJFF5/gEAAPsDAAAOAAAAAAAAAAEAIAAAACUBAABkcnMvZTJv&#10;RG9jLnhtbFBLBQYAAAAABgAGAFkBAACV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YAWv1wAAAAUBAAAPAAAAAAAAAAEAIAAAACIAAABk&#10;cnMvZG93bnJldi54bWxQSwECFAAUAAAACACHTuJAyMQSyQcCAAABBAAADgAAAAAAAAABACAAAAAm&#10;AQAAZHJzL2Uyb0RvYy54bWxQSwUGAAAAAAYABgBZAQAAnwU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rPr>
              <w:t>金鹿理财</w:t>
            </w:r>
            <w:r>
              <w:rPr>
                <w:sz w:val="18"/>
                <w:szCs w:val="18"/>
                <w:highlight w:val="none"/>
              </w:rPr>
              <w:t>-</w:t>
            </w:r>
            <w:r>
              <w:rPr>
                <w:rFonts w:hint="eastAsia"/>
                <w:sz w:val="18"/>
                <w:szCs w:val="18"/>
                <w:highlight w:val="none"/>
              </w:rPr>
              <w:t>普惠季享</w:t>
            </w:r>
            <w:r>
              <w:rPr>
                <w:sz w:val="18"/>
                <w:szCs w:val="18"/>
                <w:highlight w:val="none"/>
              </w:rPr>
              <w:t>”</w:t>
            </w:r>
            <w:r>
              <w:rPr>
                <w:rFonts w:hint="default"/>
                <w:color w:val="000000"/>
                <w:sz w:val="18"/>
                <w:szCs w:val="18"/>
                <w:highlight w:val="none"/>
                <w:u w:val="single"/>
              </w:rPr>
              <w:t>23021</w:t>
            </w:r>
            <w:r>
              <w:rPr>
                <w:sz w:val="18"/>
                <w:szCs w:val="18"/>
                <w:highlight w:val="none"/>
              </w:rPr>
              <w:t>号</w:t>
            </w:r>
            <w:r>
              <w:rPr>
                <w:rFonts w:hint="eastAsia"/>
                <w:sz w:val="18"/>
                <w:szCs w:val="18"/>
                <w:highlight w:val="none"/>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szCs w:val="18"/>
                <w:highlight w:val="none"/>
              </w:rPr>
              <w:t>JW2321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szCs w:val="18"/>
                <w:highlight w:val="none"/>
              </w:rPr>
              <w:t>C1092223000027</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发行方式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color w:val="000000"/>
                <w:sz w:val="18"/>
                <w:szCs w:val="18"/>
                <w:highlight w:val="none"/>
                <w:u w:val="single"/>
                <w:lang w:val="en-US" w:eastAsia="zh-CN"/>
              </w:rPr>
              <w:t>399</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收益类型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发售规模不超过</w:t>
            </w:r>
            <w:r>
              <w:rPr>
                <w:rFonts w:hint="eastAsia"/>
                <w:sz w:val="18"/>
                <w:szCs w:val="18"/>
                <w:highlight w:val="none"/>
                <w:lang w:val="en-US" w:eastAsia="zh-CN"/>
              </w:rPr>
              <w:t>2</w:t>
            </w:r>
            <w:r>
              <w:rPr>
                <w:rFonts w:hint="eastAsia"/>
                <w:sz w:val="18"/>
                <w:szCs w:val="18"/>
                <w:highlight w:val="none"/>
              </w:rPr>
              <w:t>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default"/>
                <w:color w:val="000000"/>
                <w:sz w:val="18"/>
                <w:highlight w:val="none"/>
                <w:u w:val="single"/>
              </w:rPr>
              <w:t>2023年10月31日</w:t>
            </w:r>
            <w:r>
              <w:rPr>
                <w:rFonts w:hint="eastAsia"/>
                <w:sz w:val="18"/>
                <w:highlight w:val="none"/>
                <w:u w:val="single"/>
              </w:rPr>
              <w:t>至</w:t>
            </w:r>
            <w:r>
              <w:rPr>
                <w:rFonts w:hint="default"/>
                <w:color w:val="000000"/>
                <w:sz w:val="18"/>
                <w:highlight w:val="none"/>
                <w:u w:val="single"/>
              </w:rPr>
              <w:t>2023年11月6日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highlight w:val="none"/>
                <w:u w:val="single"/>
              </w:rPr>
              <w:t>2023年11月7日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24"/>
                <w:highlight w:val="none"/>
                <w:u w:val="single"/>
              </w:rPr>
            </w:pPr>
            <w:r>
              <w:rPr>
                <w:rFonts w:hint="default"/>
                <w:color w:val="000000"/>
                <w:sz w:val="18"/>
                <w:highlight w:val="none"/>
                <w:u w:val="single"/>
              </w:rPr>
              <w:t>2024年12月10日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color w:val="000000"/>
                <w:sz w:val="18"/>
                <w:szCs w:val="18"/>
                <w:highlight w:val="none"/>
              </w:rPr>
              <w:t>3.4</w:t>
            </w:r>
            <w:r>
              <w:rPr>
                <w:rFonts w:hint="eastAsia"/>
                <w:color w:val="000000"/>
                <w:sz w:val="18"/>
                <w:szCs w:val="18"/>
                <w:highlight w:val="none"/>
                <w:lang w:val="en-US" w:eastAsia="zh-CN"/>
              </w:rPr>
              <w:t>5</w:t>
            </w:r>
            <w:r>
              <w:rPr>
                <w:rFonts w:hint="eastAsia"/>
                <w:color w:val="000000"/>
                <w:sz w:val="18"/>
                <w:szCs w:val="18"/>
                <w:highlight w:val="none"/>
              </w:rPr>
              <w:t>%（年化）</w:t>
            </w:r>
          </w:p>
          <w:p>
            <w:pPr>
              <w:adjustRightInd w:val="0"/>
              <w:snapToGrid w:val="0"/>
              <w:spacing w:line="288" w:lineRule="auto"/>
              <w:jc w:val="left"/>
              <w:rPr>
                <w:rFonts w:hint="eastAsia"/>
                <w:sz w:val="18"/>
                <w:szCs w:val="18"/>
                <w:highlight w:val="none"/>
              </w:rPr>
            </w:pPr>
            <w:r>
              <w:rPr>
                <w:rFonts w:hint="eastAsia"/>
                <w:sz w:val="18"/>
                <w:szCs w:val="18"/>
                <w:highlight w:val="none"/>
              </w:rPr>
              <w:t>本产品为净值型理财产品，其业绩表现将随市场波动具有不确定性。业绩比较基准并不代表实际收益率，仅作为浮动管理费计提参照使用。业绩比较基准测算依据：管理人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若本理财产品扣除产品固定管理费（如有）、托管费及其他费用（如有）后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单笔认购</w:t>
            </w:r>
            <w:r>
              <w:rPr>
                <w:sz w:val="18"/>
                <w:szCs w:val="18"/>
                <w:highlight w:val="none"/>
              </w:rPr>
              <w:t>/</w:t>
            </w:r>
            <w:r>
              <w:rPr>
                <w:rFonts w:hint="eastAsia"/>
                <w:sz w:val="18"/>
                <w:szCs w:val="18"/>
                <w:highlight w:val="none"/>
              </w:rPr>
              <w:t>申购</w:t>
            </w:r>
          </w:p>
          <w:p>
            <w:pPr>
              <w:adjustRightInd w:val="0"/>
              <w:snapToGrid w:val="0"/>
              <w:spacing w:line="288" w:lineRule="auto"/>
              <w:jc w:val="center"/>
              <w:rPr>
                <w:sz w:val="18"/>
                <w:szCs w:val="18"/>
                <w:highlight w:val="none"/>
              </w:rPr>
            </w:pPr>
            <w:r>
              <w:rPr>
                <w:rFonts w:hint="eastAsia"/>
                <w:sz w:val="18"/>
                <w:szCs w:val="18"/>
                <w:highlight w:val="none"/>
              </w:rPr>
              <w:t>最低份额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产品托管人及主要职责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sz w:val="18"/>
          <w:szCs w:val="18"/>
          <w:highlight w:val="none"/>
        </w:rPr>
      </w:pPr>
      <w:r>
        <w:rPr>
          <w:rFonts w:hint="eastAsia"/>
          <w:sz w:val="18"/>
          <w:szCs w:val="18"/>
          <w:highlight w:val="none"/>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highlight w:val="none"/>
          <w:lang w:val="zh-CN"/>
        </w:rPr>
        <w:t>上市交易的股票、未上市企业股权及其受（收）益权</w:t>
      </w:r>
      <w:r>
        <w:rPr>
          <w:rFonts w:hint="eastAsia"/>
          <w:sz w:val="18"/>
          <w:szCs w:val="18"/>
          <w:highlight w:val="none"/>
        </w:rPr>
        <w:t>，及其他符合监管要求的投资标的和资产组合。本产品的收益主要来源于理财资金所投资资产的投资回报。投资者按其认购金额占该理财产品项下所有认购资金的比例，承担相应比例的收益和风险。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、投资范围与投资比例</w:t>
      </w:r>
    </w:p>
    <w:tbl>
      <w:tblPr>
        <w:tblStyle w:val="8"/>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highlight w:val="none"/>
              </w:rPr>
            </w:pPr>
            <w:r>
              <w:rPr>
                <w:rFonts w:hint="eastAsia" w:ascii="宋体" w:hAnsi="宋体" w:cs="宋体"/>
                <w:kern w:val="0"/>
                <w:sz w:val="18"/>
                <w:szCs w:val="18"/>
                <w:highlight w:val="none"/>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股票型基金、证券投资基金</w:t>
            </w:r>
            <w:r>
              <w:rPr>
                <w:rFonts w:hint="eastAsia"/>
                <w:sz w:val="18"/>
                <w:szCs w:val="18"/>
                <w:highlight w:val="none"/>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rFonts w:hint="eastAsia"/>
          <w:sz w:val="18"/>
          <w:szCs w:val="18"/>
          <w:highlight w:val="none"/>
        </w:rPr>
      </w:pPr>
      <w:r>
        <w:rPr>
          <w:rFonts w:hint="eastAsia"/>
          <w:sz w:val="18"/>
          <w:szCs w:val="18"/>
          <w:highlight w:val="none"/>
        </w:rPr>
        <w:t>本产品采用安全性和流动性优先、追求适度收益的投资策略。</w:t>
      </w:r>
    </w:p>
    <w:p>
      <w:pPr>
        <w:adjustRightInd w:val="0"/>
        <w:snapToGrid w:val="0"/>
        <w:spacing w:line="286" w:lineRule="auto"/>
        <w:rPr>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6" w:lineRule="auto"/>
        <w:rPr>
          <w:b/>
          <w:sz w:val="18"/>
          <w:szCs w:val="18"/>
          <w:highlight w:val="none"/>
        </w:rPr>
      </w:pPr>
      <w:r>
        <w:rPr>
          <w:rFonts w:hint="eastAsia"/>
          <w:b/>
          <w:sz w:val="18"/>
          <w:szCs w:val="18"/>
          <w:highlight w:val="none"/>
        </w:rPr>
        <w:t>产品销售</w:t>
      </w:r>
    </w:p>
    <w:p>
      <w:pPr>
        <w:adjustRightInd w:val="0"/>
        <w:snapToGrid w:val="0"/>
        <w:spacing w:line="286"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b/>
          <w:bCs/>
          <w:sz w:val="18"/>
          <w:szCs w:val="18"/>
          <w:highlight w:val="none"/>
        </w:rPr>
      </w:pPr>
      <w:r>
        <w:rPr>
          <w:rFonts w:hint="eastAsia"/>
          <w:b/>
          <w:bCs/>
          <w:sz w:val="18"/>
          <w:szCs w:val="18"/>
          <w:highlight w:val="none"/>
        </w:rPr>
        <w:t>投资管理人</w:t>
      </w:r>
    </w:p>
    <w:p>
      <w:pPr>
        <w:adjustRightInd w:val="0"/>
        <w:snapToGrid w:val="0"/>
        <w:spacing w:line="286" w:lineRule="auto"/>
        <w:rPr>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p>
      <w:pPr>
        <w:adjustRightInd w:val="0"/>
        <w:snapToGrid w:val="0"/>
        <w:spacing w:line="286" w:lineRule="auto"/>
        <w:rPr>
          <w:rFonts w:hint="eastAsia"/>
          <w:b/>
          <w:bCs/>
          <w:sz w:val="18"/>
          <w:szCs w:val="18"/>
          <w:highlight w:val="none"/>
        </w:rPr>
      </w:pPr>
      <w:r>
        <w:rPr>
          <w:rFonts w:hint="eastAsia"/>
          <w:sz w:val="18"/>
          <w:szCs w:val="18"/>
          <w:highlight w:val="none"/>
        </w:rPr>
        <w:t>本产品的托管人为招商</w:t>
      </w:r>
      <w:r>
        <w:rPr>
          <w:sz w:val="18"/>
          <w:szCs w:val="18"/>
          <w:highlight w:val="none"/>
        </w:rPr>
        <w:t>银行股份有限公司</w:t>
      </w: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b/>
          <w:bCs/>
          <w:sz w:val="18"/>
          <w:szCs w:val="18"/>
          <w:highlight w:val="none"/>
        </w:rPr>
      </w:pPr>
      <w:r>
        <w:rPr>
          <w:rFonts w:hint="eastAsia"/>
          <w:sz w:val="18"/>
          <w:szCs w:val="18"/>
          <w:highlight w:val="none"/>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（2）其余债权类资产按市价法估值。市价法不能确定其公允价值的，采用估值技术进行估值。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color w:val="000000"/>
          <w:sz w:val="18"/>
          <w:szCs w:val="18"/>
          <w:highlight w:val="none"/>
        </w:rPr>
        <w:t>本产品业绩比较基准为3.4</w:t>
      </w:r>
      <w:r>
        <w:rPr>
          <w:rFonts w:hint="eastAsia"/>
          <w:color w:val="000000"/>
          <w:sz w:val="18"/>
          <w:szCs w:val="18"/>
          <w:highlight w:val="none"/>
          <w:lang w:val="en-US" w:eastAsia="zh-CN"/>
        </w:rPr>
        <w:t>5</w:t>
      </w:r>
      <w:r>
        <w:rPr>
          <w:rFonts w:hint="eastAsia"/>
          <w:color w:val="000000"/>
          <w:sz w:val="18"/>
          <w:szCs w:val="18"/>
          <w:highlight w:val="none"/>
        </w:rPr>
        <w:t>%（年化）。本产品业绩比较基准仅作为计提产品浮动管理费的依据，不构成温州银行对该理财产品的任何收益承诺。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本产品认购期为</w:t>
      </w:r>
      <w:r>
        <w:rPr>
          <w:rFonts w:hint="default"/>
          <w:color w:val="000000"/>
          <w:sz w:val="18"/>
          <w:highlight w:val="none"/>
        </w:rPr>
        <w:t>2023年10月31日</w:t>
      </w:r>
      <w:r>
        <w:rPr>
          <w:rFonts w:hint="eastAsia"/>
          <w:sz w:val="18"/>
          <w:highlight w:val="none"/>
        </w:rPr>
        <w:t>至</w:t>
      </w:r>
      <w:r>
        <w:rPr>
          <w:rFonts w:hint="default"/>
          <w:color w:val="000000"/>
          <w:sz w:val="18"/>
          <w:highlight w:val="none"/>
        </w:rPr>
        <w:t>2023年11月6日</w:t>
      </w:r>
      <w:r>
        <w:rPr>
          <w:rFonts w:hint="eastAsia"/>
          <w:sz w:val="18"/>
          <w:szCs w:val="18"/>
          <w:highlight w:val="none"/>
        </w:rPr>
        <w:t>，认购份额=认购金额÷1元</w:t>
      </w:r>
    </w:p>
    <w:p>
      <w:pPr>
        <w:adjustRightInd w:val="0"/>
        <w:snapToGrid w:val="0"/>
        <w:spacing w:line="286" w:lineRule="auto"/>
        <w:rPr>
          <w:sz w:val="18"/>
          <w:szCs w:val="18"/>
          <w:highlight w:val="none"/>
        </w:rPr>
      </w:pPr>
      <w:r>
        <w:rPr>
          <w:rFonts w:hint="eastAsia"/>
          <w:sz w:val="18"/>
          <w:szCs w:val="18"/>
          <w:highlight w:val="none"/>
        </w:rPr>
        <w:t>4、终止（提前终止）</w:t>
      </w:r>
    </w:p>
    <w:p>
      <w:pPr>
        <w:adjustRightInd w:val="0"/>
        <w:snapToGrid w:val="0"/>
        <w:spacing w:line="286" w:lineRule="auto"/>
        <w:rPr>
          <w:sz w:val="18"/>
          <w:highlight w:val="none"/>
        </w:rPr>
      </w:pPr>
      <w:r>
        <w:rPr>
          <w:rFonts w:hint="eastAsia"/>
          <w:sz w:val="18"/>
          <w:szCs w:val="18"/>
          <w:highlight w:val="none"/>
        </w:rPr>
        <w:t>本产品预计到期终止日为</w:t>
      </w:r>
      <w:r>
        <w:rPr>
          <w:rFonts w:hint="default"/>
          <w:color w:val="000000"/>
          <w:sz w:val="18"/>
          <w:highlight w:val="none"/>
        </w:rPr>
        <w:t>2024年12月10日</w:t>
      </w:r>
      <w:r>
        <w:rPr>
          <w:rFonts w:hint="eastAsia"/>
          <w:sz w:val="18"/>
          <w:highlight w:val="none"/>
        </w:rPr>
        <w:t>，如发生下列情形之一的，温州银行有权但无义务终止理财计划：</w:t>
      </w:r>
    </w:p>
    <w:p>
      <w:pPr>
        <w:numPr>
          <w:ilvl w:val="0"/>
          <w:numId w:val="1"/>
        </w:numPr>
        <w:adjustRightInd w:val="0"/>
        <w:snapToGrid w:val="0"/>
        <w:spacing w:line="286" w:lineRule="auto"/>
        <w:rPr>
          <w:sz w:val="18"/>
          <w:szCs w:val="18"/>
          <w:highlight w:val="none"/>
        </w:rPr>
      </w:pPr>
      <w:r>
        <w:rPr>
          <w:rFonts w:hint="eastAsia"/>
          <w:sz w:val="18"/>
          <w:szCs w:val="18"/>
          <w:highlight w:val="none"/>
        </w:rPr>
        <w:t>如遇国家金融政策出现重大调整并影响到本产品的正常运行时，银行有权提前终止本产品。</w:t>
      </w:r>
    </w:p>
    <w:p>
      <w:pPr>
        <w:adjustRightInd w:val="0"/>
        <w:snapToGrid w:val="0"/>
        <w:spacing w:line="286" w:lineRule="auto"/>
        <w:rPr>
          <w:sz w:val="18"/>
          <w:szCs w:val="18"/>
          <w:highlight w:val="none"/>
        </w:rPr>
      </w:pPr>
      <w:r>
        <w:rPr>
          <w:rFonts w:hint="eastAsia"/>
          <w:sz w:val="18"/>
          <w:highlight w:val="none"/>
        </w:rPr>
        <w:t>（2）因本理财产品投向的金融资产所涉及的相关主体信用恶化，市场利率大幅下滑，温州银行合理判断将影响本理财产品正常运作的</w:t>
      </w:r>
      <w:r>
        <w:rPr>
          <w:rFonts w:hint="eastAsia"/>
          <w:sz w:val="18"/>
          <w:szCs w:val="18"/>
          <w:highlight w:val="none"/>
        </w:rPr>
        <w:t>，或温州银行有合理理由认为出现了影响本理财计划正常运作的其他情形的</w:t>
      </w:r>
      <w:r>
        <w:rPr>
          <w:rFonts w:hint="eastAsia"/>
          <w:sz w:val="18"/>
          <w:highlight w:val="none"/>
        </w:rPr>
        <w:t>。</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理财管理人对委托资产收取的固定管理费，理财计划财产的年固定管理费率为0.8%（最高），计算方法如下：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highlight w:val="none"/>
        </w:rPr>
      </w:pPr>
      <w:r>
        <w:rPr>
          <w:rFonts w:hint="eastAsia"/>
          <w:sz w:val="18"/>
          <w:szCs w:val="18"/>
          <w:highlight w:val="none"/>
        </w:rPr>
        <w:t>（2）计算示例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示例一：扣除托管费、销售服务费、固定管理费（如有）及其他费用（如有）后，投资收益率超越业绩比较基准。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w:t>
      </w:r>
      <w:r>
        <w:rPr>
          <w:rFonts w:hint="eastAsia"/>
          <w:sz w:val="18"/>
          <w:szCs w:val="18"/>
          <w:highlight w:val="none"/>
          <w:lang w:val="en-US" w:eastAsia="zh-CN"/>
        </w:rPr>
        <w:t>399</w:t>
      </w:r>
      <w:r>
        <w:rPr>
          <w:rFonts w:hint="eastAsia"/>
          <w:sz w:val="18"/>
          <w:szCs w:val="18"/>
          <w:highlight w:val="none"/>
        </w:rPr>
        <w:t>天。假设产品业绩比较基准为</w:t>
      </w:r>
      <w:r>
        <w:rPr>
          <w:sz w:val="18"/>
          <w:szCs w:val="18"/>
          <w:highlight w:val="none"/>
        </w:rPr>
        <w:t>3.</w:t>
      </w:r>
      <w:r>
        <w:rPr>
          <w:rFonts w:hint="default"/>
          <w:sz w:val="18"/>
          <w:szCs w:val="18"/>
          <w:highlight w:val="none"/>
        </w:rPr>
        <w:t>4</w:t>
      </w:r>
      <w:r>
        <w:rPr>
          <w:rFonts w:hint="eastAsia"/>
          <w:sz w:val="18"/>
          <w:szCs w:val="18"/>
          <w:highlight w:val="none"/>
          <w:lang w:val="en-US" w:eastAsia="zh-CN"/>
        </w:rPr>
        <w:t>5</w:t>
      </w:r>
      <w:r>
        <w:rPr>
          <w:rFonts w:hint="eastAsia"/>
          <w:sz w:val="18"/>
          <w:szCs w:val="18"/>
          <w:highlight w:val="none"/>
        </w:rPr>
        <w:t>%。到期时扣除托管费、销售服务费、固定管理费及其他费用（如有）后，如产品净值为1.04，此时， (1.04/1.00-1)×365/</w:t>
      </w:r>
      <w:r>
        <w:rPr>
          <w:rFonts w:hint="eastAsia"/>
          <w:sz w:val="18"/>
          <w:szCs w:val="18"/>
          <w:highlight w:val="none"/>
          <w:lang w:val="en-US" w:eastAsia="zh-CN"/>
        </w:rPr>
        <w:t>399</w:t>
      </w:r>
      <w:r>
        <w:rPr>
          <w:rFonts w:hint="eastAsia"/>
          <w:sz w:val="18"/>
          <w:szCs w:val="18"/>
          <w:highlight w:val="none"/>
        </w:rPr>
        <w:t>=3.6</w:t>
      </w:r>
      <w:r>
        <w:rPr>
          <w:rFonts w:hint="eastAsia"/>
          <w:sz w:val="18"/>
          <w:szCs w:val="18"/>
          <w:highlight w:val="none"/>
          <w:lang w:val="en-US" w:eastAsia="zh-CN"/>
        </w:rPr>
        <w:t>6</w:t>
      </w:r>
      <w:r>
        <w:rPr>
          <w:rFonts w:hint="eastAsia"/>
          <w:sz w:val="18"/>
          <w:szCs w:val="18"/>
          <w:highlight w:val="none"/>
        </w:rPr>
        <w:t>%&gt;</w:t>
      </w:r>
      <w:r>
        <w:rPr>
          <w:sz w:val="18"/>
          <w:szCs w:val="18"/>
          <w:highlight w:val="none"/>
        </w:rPr>
        <w:t>3.</w:t>
      </w:r>
      <w:r>
        <w:rPr>
          <w:rFonts w:hint="default"/>
          <w:sz w:val="18"/>
          <w:szCs w:val="18"/>
          <w:highlight w:val="none"/>
        </w:rPr>
        <w:t>4</w:t>
      </w:r>
      <w:r>
        <w:rPr>
          <w:rFonts w:hint="eastAsia"/>
          <w:sz w:val="18"/>
          <w:szCs w:val="18"/>
          <w:highlight w:val="none"/>
          <w:lang w:val="en-US" w:eastAsia="zh-CN"/>
        </w:rPr>
        <w:t>5</w:t>
      </w:r>
      <w:r>
        <w:rPr>
          <w:rFonts w:hint="eastAsia"/>
          <w:sz w:val="18"/>
          <w:szCs w:val="18"/>
          <w:highlight w:val="none"/>
        </w:rPr>
        <w:t>%，即投资收益超越业绩比较基准，则投资管理人对超过业绩比较基准部分收益收取浮动管理费，浮动管理费为：1,000,000.00×[1.04-1.00×(1+</w:t>
      </w:r>
      <w:r>
        <w:rPr>
          <w:sz w:val="18"/>
          <w:szCs w:val="18"/>
          <w:highlight w:val="none"/>
        </w:rPr>
        <w:t>3.</w:t>
      </w:r>
      <w:r>
        <w:rPr>
          <w:rFonts w:hint="default"/>
          <w:sz w:val="18"/>
          <w:szCs w:val="18"/>
          <w:highlight w:val="none"/>
        </w:rPr>
        <w:t>4</w:t>
      </w:r>
      <w:r>
        <w:rPr>
          <w:rFonts w:hint="eastAsia"/>
          <w:sz w:val="18"/>
          <w:szCs w:val="18"/>
          <w:highlight w:val="none"/>
          <w:lang w:val="en-US" w:eastAsia="zh-CN"/>
        </w:rPr>
        <w:t>5</w:t>
      </w:r>
      <w:r>
        <w:rPr>
          <w:rFonts w:hint="eastAsia"/>
          <w:sz w:val="18"/>
          <w:szCs w:val="18"/>
          <w:highlight w:val="none"/>
        </w:rPr>
        <w:t>%×</w:t>
      </w:r>
      <w:r>
        <w:rPr>
          <w:rFonts w:hint="eastAsia"/>
          <w:sz w:val="18"/>
          <w:szCs w:val="18"/>
          <w:highlight w:val="none"/>
          <w:lang w:val="en-US" w:eastAsia="zh-CN"/>
        </w:rPr>
        <w:t>399</w:t>
      </w:r>
      <w:r>
        <w:rPr>
          <w:rFonts w:hint="eastAsia"/>
          <w:sz w:val="18"/>
          <w:szCs w:val="18"/>
          <w:highlight w:val="none"/>
        </w:rPr>
        <w:t>/365)]×80%=</w:t>
      </w:r>
      <w:r>
        <w:rPr>
          <w:rFonts w:hint="eastAsia"/>
          <w:sz w:val="18"/>
          <w:szCs w:val="18"/>
          <w:highlight w:val="none"/>
          <w:lang w:val="en-US" w:eastAsia="zh-CN"/>
        </w:rPr>
        <w:t>1829.04</w:t>
      </w:r>
      <w:r>
        <w:rPr>
          <w:rFonts w:hint="eastAsia"/>
          <w:sz w:val="18"/>
          <w:szCs w:val="18"/>
          <w:highlight w:val="none"/>
        </w:rPr>
        <w:t>（元）。扣除浮动管理费后，客户最终收益为：1,000,000.00×（1.04-1.00）-</w:t>
      </w:r>
      <w:r>
        <w:rPr>
          <w:rFonts w:hint="eastAsia"/>
          <w:sz w:val="18"/>
          <w:szCs w:val="18"/>
          <w:highlight w:val="none"/>
          <w:lang w:val="en-US" w:eastAsia="zh-CN"/>
        </w:rPr>
        <w:t>1829.04</w:t>
      </w:r>
      <w:r>
        <w:rPr>
          <w:rFonts w:hint="eastAsia"/>
          <w:sz w:val="18"/>
          <w:szCs w:val="18"/>
          <w:highlight w:val="none"/>
        </w:rPr>
        <w:t>=</w:t>
      </w:r>
      <w:r>
        <w:rPr>
          <w:rFonts w:hint="eastAsia"/>
          <w:sz w:val="18"/>
          <w:szCs w:val="18"/>
          <w:highlight w:val="none"/>
          <w:lang w:val="en-US" w:eastAsia="zh-CN"/>
        </w:rPr>
        <w:t>38170.96</w:t>
      </w:r>
      <w:r>
        <w:rPr>
          <w:rFonts w:hint="eastAsia"/>
          <w:sz w:val="18"/>
          <w:szCs w:val="18"/>
          <w:highlight w:val="none"/>
        </w:rPr>
        <w:t>（元），产品到期时，客户获得的实际收益相当于达到年化收益率水平为：</w:t>
      </w:r>
      <w:r>
        <w:rPr>
          <w:rFonts w:hint="eastAsia"/>
          <w:sz w:val="18"/>
          <w:szCs w:val="18"/>
          <w:highlight w:val="none"/>
          <w:lang w:val="en-US" w:eastAsia="zh-CN"/>
        </w:rPr>
        <w:t>38170.96</w:t>
      </w:r>
      <w:r>
        <w:rPr>
          <w:rFonts w:hint="eastAsia"/>
          <w:sz w:val="18"/>
          <w:szCs w:val="18"/>
          <w:highlight w:val="none"/>
        </w:rPr>
        <w:t>/1,000,000.00×365/</w:t>
      </w:r>
      <w:r>
        <w:rPr>
          <w:rFonts w:hint="eastAsia"/>
          <w:sz w:val="18"/>
          <w:szCs w:val="18"/>
          <w:highlight w:val="none"/>
          <w:lang w:val="en-US" w:eastAsia="zh-CN"/>
        </w:rPr>
        <w:t>399</w:t>
      </w:r>
      <w:r>
        <w:rPr>
          <w:rFonts w:hint="eastAsia"/>
          <w:sz w:val="18"/>
          <w:szCs w:val="18"/>
          <w:highlight w:val="none"/>
        </w:rPr>
        <w:t>=</w:t>
      </w:r>
      <w:r>
        <w:rPr>
          <w:sz w:val="18"/>
          <w:szCs w:val="18"/>
          <w:highlight w:val="none"/>
        </w:rPr>
        <w:t>3.</w:t>
      </w:r>
      <w:r>
        <w:rPr>
          <w:rFonts w:hint="default"/>
          <w:sz w:val="18"/>
          <w:szCs w:val="18"/>
          <w:highlight w:val="none"/>
        </w:rPr>
        <w:t>4</w:t>
      </w:r>
      <w:r>
        <w:rPr>
          <w:rFonts w:hint="eastAsia"/>
          <w:sz w:val="18"/>
          <w:szCs w:val="18"/>
          <w:highlight w:val="none"/>
          <w:lang w:val="en-US" w:eastAsia="zh-CN"/>
        </w:rPr>
        <w:t>9</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示例二：扣除托管费、销售服务费、固定管理费（如有）及其他费用（如有）后，投资收益率未达到业绩比较基准。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w:t>
      </w:r>
      <w:r>
        <w:rPr>
          <w:rFonts w:hint="eastAsia"/>
          <w:sz w:val="18"/>
          <w:szCs w:val="18"/>
          <w:highlight w:val="none"/>
          <w:lang w:val="en-US" w:eastAsia="zh-CN"/>
        </w:rPr>
        <w:t>399</w:t>
      </w:r>
      <w:r>
        <w:rPr>
          <w:rFonts w:hint="eastAsia"/>
          <w:sz w:val="18"/>
          <w:szCs w:val="18"/>
          <w:highlight w:val="none"/>
        </w:rPr>
        <w:t>天。假设产品业绩比较基准为</w:t>
      </w:r>
      <w:r>
        <w:rPr>
          <w:sz w:val="18"/>
          <w:szCs w:val="18"/>
          <w:highlight w:val="none"/>
        </w:rPr>
        <w:t>3.</w:t>
      </w:r>
      <w:r>
        <w:rPr>
          <w:rFonts w:hint="default"/>
          <w:sz w:val="18"/>
          <w:szCs w:val="18"/>
          <w:highlight w:val="none"/>
        </w:rPr>
        <w:t>4</w:t>
      </w:r>
      <w:r>
        <w:rPr>
          <w:rFonts w:hint="eastAsia"/>
          <w:sz w:val="18"/>
          <w:szCs w:val="18"/>
          <w:highlight w:val="none"/>
          <w:lang w:val="en-US" w:eastAsia="zh-CN"/>
        </w:rPr>
        <w:t>5</w:t>
      </w:r>
      <w:r>
        <w:rPr>
          <w:rFonts w:hint="eastAsia"/>
          <w:sz w:val="18"/>
          <w:szCs w:val="18"/>
          <w:highlight w:val="none"/>
        </w:rPr>
        <w:t>%。到期时扣除托管费、销售服务费、固定管理费及其他费用（如有）后，如产品净值为1.03，此时，(1.03/1.00-1)×365/</w:t>
      </w:r>
      <w:r>
        <w:rPr>
          <w:rFonts w:hint="eastAsia"/>
          <w:sz w:val="18"/>
          <w:szCs w:val="18"/>
          <w:highlight w:val="none"/>
          <w:lang w:val="en-US" w:eastAsia="zh-CN"/>
        </w:rPr>
        <w:t>399</w:t>
      </w:r>
      <w:r>
        <w:rPr>
          <w:rFonts w:hint="eastAsia"/>
          <w:sz w:val="18"/>
          <w:szCs w:val="18"/>
          <w:highlight w:val="none"/>
        </w:rPr>
        <w:t>=</w:t>
      </w:r>
      <w:r>
        <w:rPr>
          <w:rFonts w:hint="eastAsia"/>
          <w:sz w:val="18"/>
          <w:szCs w:val="18"/>
          <w:highlight w:val="none"/>
          <w:lang w:val="en-US" w:eastAsia="zh-CN"/>
        </w:rPr>
        <w:t>2.74</w:t>
      </w:r>
      <w:r>
        <w:rPr>
          <w:rFonts w:hint="eastAsia"/>
          <w:sz w:val="18"/>
          <w:szCs w:val="18"/>
          <w:highlight w:val="none"/>
        </w:rPr>
        <w:t>%&lt;</w:t>
      </w:r>
      <w:r>
        <w:rPr>
          <w:sz w:val="18"/>
          <w:szCs w:val="18"/>
          <w:highlight w:val="none"/>
        </w:rPr>
        <w:t>3.</w:t>
      </w:r>
      <w:r>
        <w:rPr>
          <w:rFonts w:hint="default"/>
          <w:sz w:val="18"/>
          <w:szCs w:val="18"/>
          <w:highlight w:val="none"/>
        </w:rPr>
        <w:t>4</w:t>
      </w:r>
      <w:r>
        <w:rPr>
          <w:rFonts w:hint="eastAsia"/>
          <w:sz w:val="18"/>
          <w:szCs w:val="18"/>
          <w:highlight w:val="none"/>
          <w:lang w:val="en-US" w:eastAsia="zh-CN"/>
        </w:rPr>
        <w:t>5</w:t>
      </w:r>
      <w:r>
        <w:rPr>
          <w:rFonts w:hint="eastAsia"/>
          <w:sz w:val="18"/>
          <w:szCs w:val="18"/>
          <w:highlight w:val="none"/>
        </w:rPr>
        <w:t>%，即投资收益未达到业绩比较基准，则投资管理人不收取浮动管理费，客户最终收益为：1,000,000.00×(1.03-1.00）=3</w:t>
      </w:r>
      <w:r>
        <w:rPr>
          <w:rFonts w:hint="eastAsia"/>
          <w:sz w:val="18"/>
          <w:szCs w:val="18"/>
          <w:highlight w:val="none"/>
          <w:lang w:val="en-US" w:eastAsia="zh-CN"/>
        </w:rPr>
        <w:t>0</w:t>
      </w:r>
      <w:r>
        <w:rPr>
          <w:rFonts w:hint="eastAsia"/>
          <w:sz w:val="18"/>
          <w:szCs w:val="18"/>
          <w:highlight w:val="none"/>
        </w:rPr>
        <w:t>000（元）。</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示例三：最不利情况，扣除托管费、销售服务费、固定管理费（如有）及其他费用（如有）后，投资发生亏损。</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w:t>
      </w:r>
      <w:r>
        <w:rPr>
          <w:rFonts w:hint="eastAsia"/>
          <w:sz w:val="18"/>
          <w:szCs w:val="18"/>
          <w:highlight w:val="none"/>
          <w:lang w:val="en-US" w:eastAsia="zh-CN"/>
        </w:rPr>
        <w:t>399</w:t>
      </w:r>
      <w:r>
        <w:rPr>
          <w:rFonts w:hint="eastAsia"/>
          <w:sz w:val="18"/>
          <w:szCs w:val="18"/>
          <w:highlight w:val="none"/>
        </w:rPr>
        <w:t>天。假设产品业绩比较基准为3</w:t>
      </w:r>
      <w:r>
        <w:rPr>
          <w:sz w:val="18"/>
          <w:szCs w:val="18"/>
          <w:highlight w:val="none"/>
        </w:rPr>
        <w:t>.</w:t>
      </w:r>
      <w:r>
        <w:rPr>
          <w:rFonts w:hint="default"/>
          <w:sz w:val="18"/>
          <w:szCs w:val="18"/>
          <w:highlight w:val="none"/>
        </w:rPr>
        <w:t>4</w:t>
      </w:r>
      <w:r>
        <w:rPr>
          <w:rFonts w:hint="eastAsia"/>
          <w:sz w:val="18"/>
          <w:szCs w:val="18"/>
          <w:highlight w:val="none"/>
          <w:lang w:val="en-US" w:eastAsia="zh-CN"/>
        </w:rPr>
        <w:t>5</w:t>
      </w:r>
      <w:r>
        <w:rPr>
          <w:rFonts w:hint="eastAsia"/>
          <w:sz w:val="18"/>
          <w:szCs w:val="18"/>
          <w:highlight w:val="none"/>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本金及理财收益支付</w:t>
      </w:r>
    </w:p>
    <w:p>
      <w:pPr>
        <w:numPr>
          <w:ilvl w:val="0"/>
          <w:numId w:val="2"/>
        </w:numPr>
        <w:adjustRightInd w:val="0"/>
        <w:snapToGrid w:val="0"/>
        <w:spacing w:line="286" w:lineRule="auto"/>
        <w:rPr>
          <w:sz w:val="18"/>
          <w:szCs w:val="18"/>
          <w:highlight w:val="none"/>
        </w:rPr>
      </w:pP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0"/>
          <w:numId w:val="2"/>
        </w:numPr>
        <w:adjustRightInd w:val="0"/>
        <w:snapToGrid w:val="0"/>
        <w:spacing w:line="286" w:lineRule="auto"/>
        <w:rPr>
          <w:rFonts w:hint="eastAsia"/>
          <w:sz w:val="18"/>
          <w:szCs w:val="18"/>
          <w:highlight w:val="none"/>
        </w:rPr>
      </w:pPr>
      <w:r>
        <w:rPr>
          <w:rFonts w:hint="eastAsia"/>
          <w:sz w:val="18"/>
          <w:szCs w:val="18"/>
          <w:highlight w:val="none"/>
        </w:rPr>
        <w:t>如果温州银行提前终止理财计划，理财到期日也相应提前到理财计划实际终止日。</w:t>
      </w:r>
    </w:p>
    <w:p>
      <w:pPr>
        <w:adjustRightInd w:val="0"/>
        <w:snapToGrid w:val="0"/>
        <w:spacing w:line="286" w:lineRule="auto"/>
        <w:rPr>
          <w:b/>
          <w:sz w:val="18"/>
          <w:szCs w:val="18"/>
          <w:highlight w:val="none"/>
        </w:rPr>
      </w:pPr>
      <w:r>
        <w:rPr>
          <w:rFonts w:hint="eastAsia"/>
          <w:b/>
          <w:sz w:val="18"/>
          <w:szCs w:val="18"/>
          <w:highlight w:val="none"/>
        </w:rPr>
        <w:t>税费规定</w:t>
      </w:r>
    </w:p>
    <w:p>
      <w:pPr>
        <w:widowControl/>
        <w:adjustRightInd w:val="0"/>
        <w:snapToGrid w:val="0"/>
        <w:spacing w:line="286" w:lineRule="auto"/>
        <w:outlineLvl w:val="0"/>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rFonts w:hint="eastAsia"/>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sz w:val="18"/>
          <w:szCs w:val="18"/>
          <w:highlight w:val="none"/>
        </w:rPr>
        <w:t>或证券市场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rPr>
        <w:t>7、理财产品账单：温州银行将在理财期内在温州银行网站（www.wzbank.cn）或电子银行等信息平台，至少按月为投资者提供理财产品账单信息。</w:t>
      </w:r>
    </w:p>
    <w:p>
      <w:pPr>
        <w:adjustRightInd w:val="0"/>
        <w:snapToGrid w:val="0"/>
        <w:spacing w:line="286" w:lineRule="auto"/>
        <w:rPr>
          <w:rFonts w:hint="eastAsia"/>
          <w:b/>
          <w:bCs/>
          <w:sz w:val="18"/>
          <w:szCs w:val="18"/>
          <w:highlight w:val="none"/>
        </w:rPr>
      </w:pPr>
      <w:r>
        <w:rPr>
          <w:rFonts w:hint="eastAsia"/>
          <w:b/>
          <w:bCs/>
          <w:sz w:val="18"/>
          <w:szCs w:val="18"/>
          <w:highlight w:val="none"/>
        </w:rPr>
        <w:t>投资者信息管理</w:t>
      </w:r>
    </w:p>
    <w:p>
      <w:pPr>
        <w:adjustRightInd w:val="0"/>
        <w:snapToGrid w:val="0"/>
        <w:spacing w:line="286" w:lineRule="auto"/>
        <w:rPr>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（3）《温州银行“金鹿理财-普惠季享”</w:t>
      </w:r>
      <w:r>
        <w:rPr>
          <w:rFonts w:hint="default"/>
          <w:color w:val="000000"/>
          <w:sz w:val="18"/>
          <w:szCs w:val="18"/>
          <w:highlight w:val="none"/>
        </w:rPr>
        <w:t>23021</w:t>
      </w:r>
      <w:r>
        <w:rPr>
          <w:rFonts w:hint="eastAsia"/>
          <w:sz w:val="18"/>
          <w:szCs w:val="18"/>
          <w:highlight w:val="none"/>
        </w:rPr>
        <w:t>号（稳健低波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int="eastAsia"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563E0A"/>
    <w:multiLevelType w:val="singleLevel"/>
    <w:tmpl w:val="C7563E0A"/>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dit="readOnly" w:enforcement="1" w:cryptProviderType="rsaFull" w:cryptAlgorithmClass="hash" w:cryptAlgorithmType="typeAny" w:cryptAlgorithmSid="4" w:cryptSpinCount="0" w:hash="VsWa6xFV8PAkl7nH+er8N8eT+9g=" w:salt="mC457fYrOfQr1bNBpjc1GA=="/>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B26F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91B96"/>
    <w:rsid w:val="00693A8D"/>
    <w:rsid w:val="00714A37"/>
    <w:rsid w:val="00737995"/>
    <w:rsid w:val="00757B1C"/>
    <w:rsid w:val="00766CF2"/>
    <w:rsid w:val="0078088F"/>
    <w:rsid w:val="007828DA"/>
    <w:rsid w:val="007918BA"/>
    <w:rsid w:val="00795498"/>
    <w:rsid w:val="007A7805"/>
    <w:rsid w:val="00832709"/>
    <w:rsid w:val="00836614"/>
    <w:rsid w:val="00866A5E"/>
    <w:rsid w:val="009115E2"/>
    <w:rsid w:val="009E3776"/>
    <w:rsid w:val="009E5DE6"/>
    <w:rsid w:val="00A529EE"/>
    <w:rsid w:val="00A95D28"/>
    <w:rsid w:val="00B02D36"/>
    <w:rsid w:val="00B032AE"/>
    <w:rsid w:val="00BB1978"/>
    <w:rsid w:val="00BB27A2"/>
    <w:rsid w:val="00BC2F8D"/>
    <w:rsid w:val="00BD36C8"/>
    <w:rsid w:val="00C237B9"/>
    <w:rsid w:val="00C34FBE"/>
    <w:rsid w:val="00CE5B75"/>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C64591"/>
    <w:rsid w:val="04752421"/>
    <w:rsid w:val="06F87141"/>
    <w:rsid w:val="07BB40C7"/>
    <w:rsid w:val="08687363"/>
    <w:rsid w:val="08EF38EC"/>
    <w:rsid w:val="09446D7E"/>
    <w:rsid w:val="098062CC"/>
    <w:rsid w:val="0A0F12B9"/>
    <w:rsid w:val="0A1675AA"/>
    <w:rsid w:val="0A887557"/>
    <w:rsid w:val="0AC90772"/>
    <w:rsid w:val="0BF132A6"/>
    <w:rsid w:val="104F44D5"/>
    <w:rsid w:val="10B17669"/>
    <w:rsid w:val="12B465CD"/>
    <w:rsid w:val="141472A9"/>
    <w:rsid w:val="14237D99"/>
    <w:rsid w:val="14F07B6A"/>
    <w:rsid w:val="17CF37DD"/>
    <w:rsid w:val="17FB0939"/>
    <w:rsid w:val="18377CAF"/>
    <w:rsid w:val="18AD336C"/>
    <w:rsid w:val="191D5323"/>
    <w:rsid w:val="19E25A8D"/>
    <w:rsid w:val="1A5F6148"/>
    <w:rsid w:val="1EBD7528"/>
    <w:rsid w:val="20DB6550"/>
    <w:rsid w:val="22A04815"/>
    <w:rsid w:val="23535C37"/>
    <w:rsid w:val="26531D8B"/>
    <w:rsid w:val="268A5E41"/>
    <w:rsid w:val="275A751E"/>
    <w:rsid w:val="27BD2B01"/>
    <w:rsid w:val="27DE6CFF"/>
    <w:rsid w:val="28076A45"/>
    <w:rsid w:val="296645C3"/>
    <w:rsid w:val="2ACF0E36"/>
    <w:rsid w:val="2D1D2B95"/>
    <w:rsid w:val="2F7E1AF7"/>
    <w:rsid w:val="2F862BC5"/>
    <w:rsid w:val="313A7139"/>
    <w:rsid w:val="31AC46DA"/>
    <w:rsid w:val="322778BD"/>
    <w:rsid w:val="32683389"/>
    <w:rsid w:val="3318043A"/>
    <w:rsid w:val="34B828A9"/>
    <w:rsid w:val="36C936FE"/>
    <w:rsid w:val="37FBE007"/>
    <w:rsid w:val="39766FF2"/>
    <w:rsid w:val="3A9532FB"/>
    <w:rsid w:val="3BBF210A"/>
    <w:rsid w:val="3C0741A4"/>
    <w:rsid w:val="3D150741"/>
    <w:rsid w:val="3E2566A4"/>
    <w:rsid w:val="3F7E5351"/>
    <w:rsid w:val="3FBD214F"/>
    <w:rsid w:val="4146226E"/>
    <w:rsid w:val="424649EA"/>
    <w:rsid w:val="43712A5A"/>
    <w:rsid w:val="4409550D"/>
    <w:rsid w:val="45FA54E8"/>
    <w:rsid w:val="462B298E"/>
    <w:rsid w:val="489032CB"/>
    <w:rsid w:val="49321D6F"/>
    <w:rsid w:val="4CBDE6D6"/>
    <w:rsid w:val="4EFE40C2"/>
    <w:rsid w:val="54133033"/>
    <w:rsid w:val="546F0E0A"/>
    <w:rsid w:val="564C4058"/>
    <w:rsid w:val="56865A7D"/>
    <w:rsid w:val="56AB5155"/>
    <w:rsid w:val="57313966"/>
    <w:rsid w:val="58A26889"/>
    <w:rsid w:val="5A6C6059"/>
    <w:rsid w:val="5AC90CB7"/>
    <w:rsid w:val="5D0B2C53"/>
    <w:rsid w:val="5DD76B10"/>
    <w:rsid w:val="5E014390"/>
    <w:rsid w:val="5E777DB5"/>
    <w:rsid w:val="5F4A6202"/>
    <w:rsid w:val="61E21802"/>
    <w:rsid w:val="623D1E92"/>
    <w:rsid w:val="627B1C78"/>
    <w:rsid w:val="627B657A"/>
    <w:rsid w:val="6522045B"/>
    <w:rsid w:val="67B13836"/>
    <w:rsid w:val="67DC31E6"/>
    <w:rsid w:val="68785140"/>
    <w:rsid w:val="693E0188"/>
    <w:rsid w:val="699C4EA7"/>
    <w:rsid w:val="6D15771F"/>
    <w:rsid w:val="6F291A04"/>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FC162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link w:val="10"/>
    <w:unhideWhenUsed/>
    <w:uiPriority w:val="99"/>
    <w:pPr>
      <w:jc w:val="left"/>
    </w:pPr>
    <w:rPr>
      <w:rFonts w:ascii="Times New Roman" w:hAnsi="Times New Roman"/>
    </w:rPr>
  </w:style>
  <w:style w:type="paragraph" w:styleId="3">
    <w:name w:val="Plain Text"/>
    <w:basedOn w:val="1"/>
    <w:link w:val="11"/>
    <w:unhideWhenUsed/>
    <w:uiPriority w:val="99"/>
    <w:rPr>
      <w:rFonts w:ascii="宋体" w:hAnsi="Courier New"/>
      <w:kern w:val="0"/>
      <w:sz w:val="20"/>
      <w:szCs w:val="21"/>
    </w:rPr>
  </w:style>
  <w:style w:type="paragraph" w:styleId="4">
    <w:name w:val="Balloon Text"/>
    <w:basedOn w:val="1"/>
    <w:link w:val="12"/>
    <w:unhideWhenUsed/>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uiPriority w:val="99"/>
    <w:rPr>
      <w:rFonts w:ascii="Times New Roman" w:hAnsi="Times New Roman"/>
      <w:kern w:val="2"/>
      <w:sz w:val="21"/>
    </w:rPr>
  </w:style>
  <w:style w:type="character" w:customStyle="1" w:styleId="11">
    <w:name w:val="纯文本 字符"/>
    <w:link w:val="3"/>
    <w:uiPriority w:val="99"/>
    <w:rPr>
      <w:rFonts w:ascii="宋体" w:hAnsi="Courier New" w:eastAsia="宋体" w:cs="Courier New"/>
      <w:szCs w:val="21"/>
    </w:rPr>
  </w:style>
  <w:style w:type="character" w:customStyle="1" w:styleId="12">
    <w:name w:val="批注框文本 字符"/>
    <w:link w:val="4"/>
    <w:semiHidden/>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1954</Words>
  <Characters>11138</Characters>
  <Lines>92</Lines>
  <Paragraphs>26</Paragraphs>
  <TotalTime>8</TotalTime>
  <ScaleCrop>false</ScaleCrop>
  <LinksUpToDate>false</LinksUpToDate>
  <CharactersWithSpaces>13066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2022-03-08T23:10:00Z</dcterms:created>
  <dc:creator>陈浩</dc:creator>
  <cp:lastModifiedBy>应心茹</cp:lastModifiedBy>
  <dcterms:modified xsi:type="dcterms:W3CDTF">2023-10-27T02:35:21Z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