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“金鹿理财-温盈”20046号开放式净值</w:t>
      </w:r>
      <w:r>
        <w:rPr>
          <w:rFonts w:hint="eastAsia"/>
          <w:szCs w:val="21"/>
        </w:rPr>
        <w:t>型（第i期）银行理财计划开放认购（申购）申请书》约定为准。根据温</w:t>
      </w:r>
      <w:r>
        <w:rPr>
          <w:rFonts w:hint="eastAsia" w:ascii="宋体" w:hAnsi="宋体"/>
          <w:szCs w:val="21"/>
        </w:rPr>
        <w:t>州银行内部风险评级标准，该产品的</w:t>
      </w:r>
      <w:bookmarkStart w:id="0" w:name="_GoBack"/>
      <w:bookmarkEnd w:id="0"/>
      <w:r>
        <w:rPr>
          <w:rFonts w:hint="eastAsia" w:ascii="宋体" w:hAnsi="宋体"/>
          <w:szCs w:val="21"/>
        </w:rPr>
        <w:t>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20046号开放式净值型银行理财计划产品说明书》、《温州银行“金鹿理财-温盈”20046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2020年5月6日至2020年5月12日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：本理财计划成立日为2020年5月13日，从成立日起，每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本产品预计到期终止日为2030年5月13日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20046号开放式净值型银行理财计划风险揭示书》、《温州银行“金鹿理财”银行理财计划合约》、《温州银行“金鹿理财-温盈”20046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6r7kRUWDZOGpi0FsqeywFynWMpM=" w:salt="MvBgRy8mmRjKIylS1o3Ou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6415EFB"/>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2023-10-27T02:43:25Z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