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普惠季享”11号开放式净值型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第10期91天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“金鹿理财-普惠季享”</w:t>
            </w:r>
            <w:r>
              <w:rPr>
                <w:rFonts w:hint="eastAsia" w:ascii="宋体" w:hAnsi="宋体" w:eastAsia="宋体" w:cs="Times New Roman"/>
                <w:color w:val="000000"/>
                <w:kern w:val="0"/>
                <w:sz w:val="18"/>
                <w:szCs w:val="18"/>
                <w:u w:val="single"/>
                <w:lang w:val="en-US" w:eastAsia="zh-CN" w:bidi="ar-SA"/>
              </w:rPr>
              <w:t>11号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JX0011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10</w:t>
            </w:r>
            <w:r>
              <w:rPr>
                <w:rFonts w:hint="eastAsia" w:ascii="宋体" w:hAnsi="宋体" w:eastAsia="宋体" w:cs="宋体"/>
                <w:color w:val="000000"/>
                <w:kern w:val="0"/>
                <w:sz w:val="18"/>
                <w:szCs w:val="18"/>
                <w:lang w:val="en-US" w:eastAsia="zh-CN" w:bidi="ar-SA"/>
              </w:rPr>
              <w:t>期91天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2.8%-3.4%</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2023年10月31日至2023年11月6日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2023年11月7日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91天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2024年1月30日</w:t>
            </w:r>
            <w:r>
              <w:rPr>
                <w:rFonts w:hint="eastAsia" w:ascii="宋体" w:hAnsi="宋体" w:eastAsia="宋体" w:cs="Times New Roman"/>
                <w:color w:val="000000"/>
                <w:kern w:val="0"/>
                <w:sz w:val="18"/>
                <w:szCs w:val="18"/>
                <w:u w:val="single"/>
                <w:lang w:val="en-US" w:eastAsia="zh-Hans" w:bidi="ar-SA"/>
              </w:rPr>
              <w:t>至2024年2月5日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2024年</w:t>
            </w:r>
            <w:bookmarkStart w:id="0" w:name="_GoBack"/>
            <w:bookmarkEnd w:id="0"/>
            <w:r>
              <w:rPr>
                <w:rFonts w:hint="eastAsia" w:ascii="宋体" w:hAnsi="宋体" w:eastAsia="宋体" w:cs="宋体"/>
                <w:color w:val="000000"/>
                <w:kern w:val="0"/>
                <w:sz w:val="18"/>
                <w:szCs w:val="18"/>
                <w:u w:val="single"/>
                <w:lang w:val="en-US" w:eastAsia="zh-CN" w:bidi="ar-SA"/>
              </w:rPr>
              <w:t>2月6日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“金鹿理财-普惠季享”11号开放式净值型银行理财计划风险揭示书》、《温州银行“金鹿理财-普惠季享”11号开放式净值型银行理财计划产品说明书》、《温州银行“金鹿理财-普惠季享”11号开放式净值型（第</w:t>
            </w:r>
            <w:r>
              <w:rPr>
                <w:rFonts w:hint="eastAsia" w:ascii="宋体" w:hAnsi="宋体" w:eastAsia="宋体"/>
                <w:color w:val="000000"/>
                <w:sz w:val="18"/>
                <w:szCs w:val="20"/>
                <w:lang w:val="en-US" w:eastAsia="zh-Hans"/>
              </w:rPr>
              <w:t>10</w:t>
            </w:r>
            <w:r>
              <w:rPr>
                <w:rFonts w:hint="eastAsia" w:ascii="宋体" w:hAnsi="宋体" w:eastAsia="宋体"/>
                <w:color w:val="000000"/>
                <w:sz w:val="18"/>
                <w:szCs w:val="20"/>
              </w:rPr>
              <w:t>期91天）银行理财计划开放认购（申购）申请书》和《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8UMcs60agPOOqaO4oygbMBpBlPc=" w:salt="RojXEmr1onQ/h5myUYlQA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61597D05"/>
    <w:rsid w:val="7F7EC3B3"/>
    <w:rsid w:val="BBDDF786"/>
    <w:rsid w:val="E7EC35E9"/>
    <w:rsid w:val="EAFE2858"/>
    <w:rsid w:val="FCFF1E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er"/>
    <w:basedOn w:val="1"/>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3</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2023-10-27T02:26:28Z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