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温盈”20046号开放式净值型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20046号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2023年11月1日至2023年11月7日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2024年4月30日</w:t>
            </w:r>
            <w:r>
              <w:rPr>
                <w:rFonts w:hint="eastAsia" w:ascii="宋体" w:hAnsi="宋体" w:eastAsia="宋体" w:cs="Times New Roman"/>
                <w:color w:val="000000"/>
                <w:kern w:val="0"/>
                <w:sz w:val="18"/>
                <w:szCs w:val="18"/>
                <w:u w:val="single"/>
                <w:lang w:val="en-US" w:eastAsia="zh-Hans" w:bidi="ar-SA"/>
              </w:rPr>
              <w:t>至2024年5月7日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“金鹿理财-温盈”20046号开放式净值型银行理财计划风险揭示书》、《温州银行“金鹿理财-温盈”20046号开放式净值型银行理财计划产品说明书》、《温州银行“金鹿理财-温盈”20046号开放式净值型（第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p4oqydZUYgpWqt4BKoanpeDbd8=" w:salt="EE3DAvOjDdTleQspGl6+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CC4450E"/>
    <w:rsid w:val="7F7EC3B3"/>
    <w:rsid w:val="BBDDF786"/>
    <w:rsid w:val="E7EC35E9"/>
    <w:rsid w:val="EAFE2858"/>
    <w:rsid w:val="F3BF9A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2023-10-27T02:26:30Z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