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bookmarkStart w:id="0" w:name="_GoBack"/>
      <w:bookmarkEnd w:id="0"/>
      <w:r>
        <w:rPr>
          <w:rFonts w:hint="eastAsia" w:ascii="黑体" w:eastAsia="黑体"/>
          <w:sz w:val="30"/>
          <w:szCs w:val="30"/>
          <w:highlight w:val="none"/>
        </w:rPr>
        <w:t>温州银行“金鹿理财-普惠季享”</w:t>
      </w:r>
      <w:r>
        <w:rPr>
          <w:rFonts w:hint="default" w:ascii="黑体" w:eastAsia="黑体"/>
          <w:color w:val="000000"/>
          <w:sz w:val="30"/>
          <w:szCs w:val="30"/>
          <w:highlight w:val="none"/>
          <w:u w:val="single"/>
        </w:rPr>
        <w:t>23011</w:t>
      </w:r>
      <w:r>
        <w:rPr>
          <w:rFonts w:hint="eastAsia" w:ascii="黑体" w:eastAsia="黑体"/>
          <w:sz w:val="30"/>
          <w:szCs w:val="30"/>
          <w:highlight w:val="none"/>
        </w:rPr>
        <w:t>号（共同富裕特别款）银行理财计划风险揭示书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普惠季享”</w:t>
      </w:r>
      <w:r>
        <w:rPr>
          <w:rFonts w:hint="default"/>
          <w:color w:val="000000"/>
          <w:szCs w:val="21"/>
          <w:highlight w:val="none"/>
          <w:u w:val="single"/>
        </w:rPr>
        <w:t>23011</w:t>
      </w:r>
      <w:r>
        <w:rPr>
          <w:rFonts w:hint="eastAsia"/>
          <w:szCs w:val="21"/>
          <w:highlight w:val="none"/>
        </w:rPr>
        <w:t>号（共同富裕特别款）银行理财计划，投资类型属于</w:t>
      </w:r>
      <w:r>
        <w:rPr>
          <w:rFonts w:hint="eastAsia"/>
          <w:szCs w:val="21"/>
          <w:highlight w:val="none"/>
          <w:u w:val="single"/>
        </w:rPr>
        <w:t>固定收益类理财产品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highlight w:val="none"/>
          <w:u w:val="single"/>
        </w:rPr>
        <w:t>119</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w:t>
      </w:r>
      <w:r>
        <w:rPr>
          <w:rFonts w:hint="eastAsia" w:ascii="宋体" w:hAnsi="宋体"/>
          <w:szCs w:val="21"/>
          <w:highlight w:val="none"/>
        </w:rPr>
        <w:t>本理财产品适合客户：经温州银行评估为稳健型、平衡型、进取型、激进型的新签约个人投资者或定向邀约的客户群体。</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三、本风险揭示书及《温州银行“金鹿理财-普惠季享”</w:t>
      </w:r>
      <w:r>
        <w:rPr>
          <w:rFonts w:hint="default" w:ascii="宋体"/>
          <w:color w:val="000000"/>
          <w:szCs w:val="21"/>
          <w:highlight w:val="none"/>
          <w:u w:val="single"/>
        </w:rPr>
        <w:t>23011</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default" w:ascii="宋体"/>
          <w:color w:val="000000"/>
          <w:szCs w:val="21"/>
          <w:highlight w:val="none"/>
          <w:u w:val="single"/>
        </w:rPr>
        <w:t>23011</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hint="eastAsia"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9"/>
        <w:adjustRightInd w:val="0"/>
        <w:snapToGrid w:val="0"/>
        <w:spacing w:before="0" w:beforeAutospacing="0" w:after="0" w:afterAutospacing="0" w:line="360" w:lineRule="auto"/>
        <w:jc w:val="center"/>
        <w:rPr>
          <w:rFonts w:hint="eastAsia" w:ascii="黑体" w:eastAsia="黑体"/>
          <w:bCs/>
          <w:sz w:val="30"/>
          <w:szCs w:val="30"/>
          <w:highlight w:val="none"/>
        </w:rPr>
      </w:pPr>
    </w:p>
    <w:p>
      <w:pPr>
        <w:pStyle w:val="19"/>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温州银行“金鹿理财-普惠季享”</w:t>
      </w:r>
      <w:r>
        <w:rPr>
          <w:rFonts w:hint="default" w:ascii="黑体" w:eastAsia="黑体"/>
          <w:color w:val="000000"/>
          <w:sz w:val="30"/>
          <w:szCs w:val="30"/>
          <w:highlight w:val="none"/>
          <w:u w:val="single"/>
        </w:rPr>
        <w:t>23011</w:t>
      </w:r>
      <w:r>
        <w:rPr>
          <w:rFonts w:hint="eastAsia" w:ascii="黑体" w:eastAsia="黑体"/>
          <w:bCs/>
          <w:sz w:val="30"/>
          <w:szCs w:val="30"/>
          <w:highlight w:val="none"/>
        </w:rPr>
        <w:t>号（共同富裕特别款）</w:t>
      </w:r>
    </w:p>
    <w:p>
      <w:pPr>
        <w:pStyle w:val="19"/>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rFonts w:hint="eastAsia"/>
          <w:sz w:val="18"/>
          <w:szCs w:val="18"/>
          <w:highlight w:val="none"/>
        </w:rPr>
      </w:pPr>
      <w:r>
        <w:rPr>
          <w:rFonts w:hint="eastAsia"/>
          <w:sz w:val="18"/>
          <w:szCs w:val="18"/>
          <w:highlight w:val="none"/>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普惠季享”</w:t>
      </w:r>
      <w:r>
        <w:rPr>
          <w:rFonts w:hint="default"/>
          <w:color w:val="000000"/>
          <w:sz w:val="18"/>
          <w:szCs w:val="18"/>
          <w:highlight w:val="none"/>
        </w:rPr>
        <w:t>23011</w:t>
      </w:r>
      <w:r>
        <w:rPr>
          <w:rFonts w:hint="eastAsia"/>
          <w:sz w:val="18"/>
          <w:szCs w:val="18"/>
          <w:highlight w:val="none"/>
        </w:rPr>
        <w:t>号（共同富裕特别款）银行理财计划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v+0PZBQQAABUVAAAOAAAAZHJzL2Uyb0RvYy54bWztWM1u&#10;3DYQvhfoOxC61yuJ+lkJXucQx74UbYA0vdMS9QNIJEtyrfW5r9BbDwV6672HokXQpwnyGh1SlJyV&#10;48RO49Qodg2stRI1nPnm4zdDHj/Z9R26pFK1nG284Mj3EGUFL1tWb7yX3519tfaQ0oSVpOOMbrwr&#10;qrwnJ19+cTyInIa84V1JJQIjTOWD2HiN1iJfrVTR0J6oIy4og4cVlz3R8FPWq1KSAaz33Sr0/WQ1&#10;cFkKyQuqFNw9HR96zqK8i0FeVW1BT3mx7SnTo1VJO6IhJNW0Qnkn1tuqooX+tqoU1ajbeBCptt8w&#10;CVxfmO/VyTHJa0lE0xbOBXIXFxYx9aRlMOls6pRograyvWGqbwvJFa/0UcH71RiIRQSiCPwFNueS&#10;b4WNpc6HWsygQ6IWqH+02eKby+cSteXGyzzESA8Jf/PTX6//+BEFkQFnEHUOY86leCGeS3ejHn+Z&#10;eHeV7M1/iATtLKxXM6x0p1EBN3EWZngNiBfwLFhnSRrFI/BFA9m58V7RPPvAm6tp4pXxb3ZnEEBJ&#10;dY2T+nc4vWiIoBZ+ZTBwOAUzTj///ubPv1GQjDjZMU+ZA0nlCvB6B0JBEoQZYGGgSMJknToOzmBF&#10;CbYDDFgJtkDN4ZJcSKXPKe+Rudh4XcuMhyQnl18rDemBodMQc7tjaIDUxmEM6BNYrRWsErjsBWRc&#10;sdq+q3jXlmdt15k3lKwvnnYSXRKzYuzHxAd294aZSU6JasZx9tGY0oaS8hkrkb4SwCUGEuIZF3pa&#10;eqijoDjmCgySXJO2ux6pZUtY3d0yGqbvmHmJ2jXtYjX5HmE2Vxe8vIIcbYVs6wawCazfjhOGyZ+B&#10;HOGSHKlxwkwNBLqFHKjqWvG98dcE6BYSXmdrRxNHAojdrQpzw62lBKeQ2jE/01Kc8n+gCNDWQP+4&#10;KIJnivzy2+tXv6Jg/RZFZpGdvJ6EbiZG7OM4hvwb/Qixn+CFfsR+lvmOH2GWBqC776WHhBL5PgXZ&#10;W/V74nBmP8763rDPrzp9q6m0qvKx+nO7Ut1Fe/TuYucWupOhAXoKkNgftkSCpv2nohQtGZfdi3GB&#10;H2RBOlIuwziKl4wLsD9V94dnnD/x+cC4x8s4IIvrJUeNC23SXBn8sMYFMca2ZbEtUBIue6QY6Gg7&#10;Gnj+KRjHuOl+rHwcpEuiRyRdyZJItqm7M5FCP0rXTrowznzoqGyWp04qDsPkUCzv36z/j4tlumRc&#10;eK9iGcapH5lqCNIUQd1cEg5H0L+N3funUK69Injozgr9zp3ho+7O4Lhtv1bi+xEO+zH8uQOFOLix&#10;W4RThgjDLsHuGMMoDkZOQld7y4bxYXYEZm8719mHbKntkRCcltkzC3eyZ47j3v5tN4bXp5kn/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CoeA3j1wAAAAUBAAAPAAAAAAAAAAEAIAAAACIAAABkcnMv&#10;ZG93bnJldi54bWxQSwECFAAUAAAACACHTuJAr/tD2QUEAAAVFQAADgAAAAAAAAABACAAAAAmAQAA&#10;ZHJzL2Uyb0RvYy54bWxQSwUGAAAAAAYABgBZAQAAnQ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o5/HsvwMAAJEUAAAOAAAAZHJzL2Uyb0RvYy54bWztmM1u&#10;4zYQgO8F+g6E7o1+KMmWEGcPSd1L0QbYtndaoiwCFMmSjO08Sw8Feuu9pwWKPk2xr9EhRTtrbbNN&#10;2k02KGwDNiWORsOZTzMjnr/aDRxtqDZMikWUniURoqKRLRPrRfT9d8sv5hEyloiWcCnoIrqlJnp1&#10;8fln51tV00z2krdUI1AiTL1Vi6i3VtVxbJqeDsScSUUFTHZSD8TCoV7HrSZb0D7wOEuSMt5K3Sot&#10;G2oMnL0aJ6OgUT9Eoew61tAr2dwMVNhRq6acWFiS6Zky0YW3tutoY7/tOkMt4osIVmr9L9wExiv3&#10;G1+ck3qtiepZE0wgDzFhsqaBMAE3Pai6IpagG83eUzWwRksjO3vWyCEeF+I9AqtIk4lvLonYkHEx&#10;Dfh6byCMPqLe1drZLeSScQ7eiEF77c65/y1Em7ppLo6FxjNeNshsFeBg1AEM899MfN0TRX0YTd18&#10;s7nWiLVAa4QEGQDKtz/99vbNHygtXQDdrUHmUlzrcGTUtXYG7zo9uH/wM9rB5WWaVRD5WzfMyvks&#10;xJ/uLGpgHucl9gINSJS4cMrjOy1KG/sVlQNyg0XEmXAWkppsvjZ2FN2LuNNcoO0iqoqsiFBD4Enp&#10;gFAYDgpWYsTaX2skZ61zvbvC6PXqkmu0IY5W/wkmHIm5m1wR049yfsqJkbqnpP1StMjeKvCRgMc3&#10;ciYMtI0Qp/C0u5GXtITxO0mrGRFrfo80eGAMP/XPU1irc/roZjdayfYWYnSjNFv34JvU2x2YGCP0&#10;5HBkUzhmzogPw4E6ztQPzl7nv4AJnlfzgEmAgNR7RNwJ5PBI5yWeQWjHuO9B28f/hIjPJC8NEXxA&#10;5Odf//z9F5TO30HkNSSNAMw9+aNIcFFA/F34M5yUeJI/iqSqksBHVs3SuZ+/P4NoKE8fyiBHT/1R&#10;clj6T4DvSOz5s87ALHWO+/f55/5M9ZDcY3erXYhbSENbqOeQYn+8IRpy2idNSvmUuOpRxKVJWqWz&#10;EbkK47yYEpfiBCjzGenpiUv2PJ+Ie7nEASyhRxpzXOaDFsrgP+e4tMDYtyy+BSqzaY9UAI6+o4H5&#10;j0HcofH8FA3TKXX5d7C/b7bLKUi+qXswSFmSz+YhdWFcJdBR+SKx76SKLCtPxfLxzfr/uFjOpsRl&#10;jyqWWTFLclcNITXlUDenwOEc+rfnqpXLpbMd+pdTrXy5tRK2uo5rJX4ccDgp4Bs2FIr0vbdF2GXI&#10;MbwljP1ZXqQjk8/9RuB680OdfcqWetwQUo0HP+yqua2wd4/9i+HdTuLF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8GAABbQ29udGVudF9UeXBl&#10;c10ueG1sUEsBAhQACgAAAAAAh07iQAAAAAAAAAAAAAAAAAYAAAAAAAAAAAAQAAAAEQUAAF9yZWxz&#10;L1BLAQIUABQAAAAIAIdO4kCKFGY80QAAAJQBAAALAAAAAAAAAAEAIAAAADUFAABfcmVscy8ucmVs&#10;c1BLAQIUAAoAAAAAAIdO4kAAAAAAAAAAAAAAAAAEAAAAAAAAAAAAEAAAAAAAAABkcnMvUEsBAhQA&#10;FAAAAAgAh07iQKh4DePXAAAABQEAAA8AAAAAAAAAAQAgAAAAIgAAAGRycy9kb3ducmV2LnhtbFBL&#10;AQIUABQAAAAIAIdO4kBo5/HsvwMAAJEUAAAOAAAAAAAAAAEAIAAAACYBAABkcnMvZTJvRG9jLnht&#10;bFBLBQYAAAAABgAGAFkBAABXBw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KUkUXn+AQAA+wMAAA4AAABkcnMvZTJvRG9jLnhtbK1TS27b&#10;MBDdF+gdCO5r+VOriWA5i7jppmgDpD3AmKIkAvyBQ1v2WXqNrrrpcXKNDik1SVMUyKJaUEPO4+O8&#10;x+Hm6mQ0O8qAytmaL2ZzzqQVrlG2q/nXLzdvLjjDCLYB7ays+Vkiv9q+frUZfCWXrne6kYERicVq&#10;8DXvY/RVUaDopQGcOS8tJVsXDESahq5oAgzEbnSxnM/LYnCh8cEJiUiruzHJJ8bwEkLXtkrInRMH&#10;I20cWYPUEEkS9soj3+Zq21aK+LltUUama05KYx7pEIr3aSy2G6i6AL5XYioBXlLCM00GlKVDH6h2&#10;EIEdgvqLyigRHLo2zoQzxSgkO0IqFvNn3tz14GXWQlajfzAd/x+t+HS8DUw11AmcWTB04fffvt//&#10;+MkWZTJn8FgR5trehmmG/jYkpac2mPQnDexE28vF8pJcPadwWV68m7yVp8gE5Vdvy1UGCEKUq3Ui&#10;Lx5ZfMD4QTrDUlBzrWwSDhUcP2Icob8haVlbNtT8cr1ccyaAurCl26fQeFKCtst70WnV3Cit0w4M&#10;3f5aB3aE1An5m0r4A5YO2QH2Iy6nEgyqXkLz3jYsnj15ZOlp8FSCkQ1nWtJLSlFGRlD6ERmDAtvp&#10;f6DJAW0Tvcy9OmlNpo82p2jvmjPd0cEH1fXkzSLXnTLUE9nEqX9T0z2dU/z0zW5/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UIkPzWAAAABQEAAA8AAAAAAAAAAQAgAAAAIgAAAGRycy9kb3ducmV2&#10;LnhtbFBLAQIUABQAAAAIAIdO4kClJFF5/gEAAPsDAAAOAAAAAAAAAAEAIAAAACUBAABkcnMvZTJv&#10;RG9jLnhtbFBLBQYAAAAABgAGAFkBAACV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DIxBLJBwIAAAEEAAAOAAAAZHJzL2Uyb0RvYy54bWytU0uO&#10;EzEQ3SNxB8t70vloMkkrnVlMGDYIIjGwr/jTbck/2U46OQvXYMWG48w1KLubYRiENAt6YZVd5Vf1&#10;Xj9vbs5Gk5MIUTnb0NlkSomwzHFl24Z+vr97s6IkJrActLOioRcR6c329atN72sxd53TXASCIDbW&#10;vW9ol5KvqyqyThiIE+eFxaR0wUDCbWgrHqBHdKOr+XS6rHoXuA+OiRjxdDck6YgYXgLopFRM7Bw7&#10;GmHTgBqEhoSUYqd8pNsyrZSCpY9SRpGIbigyTWXFJhgf8lptN1C3AXyn2DgCvGSEZ5wMKItNH6F2&#10;kIAcg/oLyigWXHQyTZgz1UCkKIIsZtNn2nzqwIvCBaWO/lH0+P9g2YfTPhDFGzqnxILBH/7w9dvD&#10;9x9kdp3F6X2ssebW7sO4i34fMtOzDIZIrfwXdFHhjmzIuaGL1Xq1Rn0vDV0urgaFxTkRhrl8QBhm&#10;Zqvl4npestWAlTF9iOmdcIbkoKFa2Uwfaji9jwn7Y+mvknysLekbur5CHMIAvSjRAxgaj3yibcvd&#10;6LTid0rrfCOG9nCrAzlB9kP58oCI+0dZbrKD2A11JTXw6ATwt5aTdPGolMUHQvMIRnBKtMD3lCME&#10;hDqB0r8rU1BgW/2Pamyvbb4kimNHrln6QewcHRy/4J86+qDaDrWZlblzBp1RGIwuztZ7usf46cv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YAWv1wAAAAUBAAAPAAAAAAAAAAEAIAAAACIAAABk&#10;cnMvZG93bnJldi54bWxQSwECFAAUAAAACACHTuJAyMQSyQcCAAABBAAADgAAAAAAAAABACAAAAAm&#10;AQAAZHJzL2Uyb0RvYy54bWxQSwUGAAAAAAYABgBZAQAAnwU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普惠季享</w:t>
            </w:r>
            <w:r>
              <w:rPr>
                <w:sz w:val="18"/>
                <w:szCs w:val="18"/>
                <w:highlight w:val="none"/>
              </w:rPr>
              <w:t>”</w:t>
            </w:r>
            <w:r>
              <w:rPr>
                <w:rFonts w:hint="default"/>
                <w:color w:val="000000"/>
                <w:sz w:val="18"/>
                <w:szCs w:val="18"/>
                <w:highlight w:val="none"/>
                <w:u w:val="single"/>
              </w:rPr>
              <w:t>23011</w:t>
            </w:r>
            <w:r>
              <w:rPr>
                <w:sz w:val="18"/>
                <w:szCs w:val="18"/>
                <w:highlight w:val="none"/>
              </w:rPr>
              <w:t>号</w:t>
            </w:r>
            <w:r>
              <w:rPr>
                <w:rFonts w:hint="eastAsia"/>
                <w:sz w:val="18"/>
                <w:szCs w:val="18"/>
                <w:highlight w:val="none"/>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JX2311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C1092223000052</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color w:val="000000"/>
                <w:sz w:val="18"/>
                <w:szCs w:val="18"/>
                <w:highlight w:val="none"/>
                <w:u w:val="single"/>
              </w:rPr>
              <w:t>119</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highlight w:val="none"/>
                <w:u w:val="single"/>
              </w:rPr>
              <w:t>2023年11月7日</w:t>
            </w:r>
            <w:r>
              <w:rPr>
                <w:rFonts w:hint="eastAsia"/>
                <w:sz w:val="18"/>
                <w:highlight w:val="none"/>
                <w:u w:val="single"/>
              </w:rPr>
              <w:t>至</w:t>
            </w:r>
            <w:r>
              <w:rPr>
                <w:rFonts w:hint="default"/>
                <w:color w:val="000000"/>
                <w:sz w:val="18"/>
                <w:highlight w:val="none"/>
                <w:u w:val="single"/>
              </w:rPr>
              <w:t>2023年11月13日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szCs w:val="18"/>
                <w:highlight w:val="none"/>
                <w:u w:val="single"/>
              </w:rPr>
              <w:t>2023年11月14日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24"/>
                <w:highlight w:val="none"/>
                <w:u w:val="single"/>
              </w:rPr>
            </w:pPr>
            <w:r>
              <w:rPr>
                <w:rFonts w:hint="default"/>
                <w:color w:val="000000"/>
                <w:sz w:val="18"/>
                <w:szCs w:val="24"/>
                <w:highlight w:val="none"/>
                <w:u w:val="single"/>
              </w:rPr>
              <w:t>2024年3月12日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color w:val="000000"/>
                <w:sz w:val="18"/>
                <w:szCs w:val="18"/>
                <w:highlight w:val="none"/>
              </w:rPr>
              <w:t>3.10%（年化）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ascii="宋体" w:hAnsi="宋体"/>
                <w:sz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ascii="宋体" w:hAnsi="宋体"/>
                <w:sz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highlight w:val="none"/>
              </w:rPr>
            </w:pPr>
            <w:r>
              <w:rPr>
                <w:rFonts w:hint="eastAsia" w:ascii="宋体" w:hAnsi="宋体"/>
                <w:sz w:val="18"/>
                <w:highlight w:val="none"/>
              </w:rPr>
              <w:t>单一投资者累计最大购买金额2000万元。</w:t>
            </w:r>
          </w:p>
          <w:p>
            <w:pPr>
              <w:adjustRightInd w:val="0"/>
              <w:snapToGrid w:val="0"/>
              <w:spacing w:line="288" w:lineRule="auto"/>
              <w:rPr>
                <w:rFonts w:ascii="宋体" w:hAnsi="宋体"/>
                <w:sz w:val="18"/>
                <w:highlight w:val="none"/>
              </w:rPr>
            </w:pPr>
            <w:r>
              <w:rPr>
                <w:rFonts w:hint="eastAsia" w:ascii="宋体" w:hAnsi="宋体"/>
                <w:sz w:val="18"/>
                <w:highlight w:val="none"/>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adjustRightInd w:val="0"/>
        <w:snapToGrid w:val="0"/>
        <w:spacing w:line="300" w:lineRule="auto"/>
        <w:rPr>
          <w:sz w:val="18"/>
          <w:szCs w:val="18"/>
          <w:highlight w:val="none"/>
        </w:rPr>
      </w:pPr>
      <w:r>
        <w:rPr>
          <w:rFonts w:hint="eastAsia"/>
          <w:sz w:val="18"/>
          <w:szCs w:val="18"/>
          <w:highlight w:val="none"/>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highlight w:val="none"/>
              </w:rPr>
            </w:pPr>
            <w:r>
              <w:rPr>
                <w:rFonts w:hint="eastAsia" w:ascii="宋体" w:hAnsi="宋体" w:cs="宋体"/>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本产品采用安全性和流动性优先、追求适度收益的投资策略。本理财产品计划将不低于7</w:t>
      </w:r>
      <w:r>
        <w:rPr>
          <w:sz w:val="18"/>
          <w:szCs w:val="18"/>
          <w:highlight w:val="none"/>
        </w:rPr>
        <w:t>0</w:t>
      </w:r>
      <w:r>
        <w:rPr>
          <w:rFonts w:hint="eastAsia"/>
          <w:sz w:val="18"/>
          <w:szCs w:val="18"/>
          <w:highlight w:val="none"/>
        </w:rPr>
        <w:t>%的债权类资产投资于浙江省内优质资产，助力浙江高质量发展建设共同富裕示范区。</w:t>
      </w:r>
    </w:p>
    <w:p>
      <w:pPr>
        <w:adjustRightInd w:val="0"/>
        <w:snapToGrid w:val="0"/>
        <w:spacing w:line="286" w:lineRule="auto"/>
        <w:rPr>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sz w:val="18"/>
          <w:szCs w:val="18"/>
          <w:highlight w:val="none"/>
        </w:rPr>
      </w:pPr>
      <w:r>
        <w:rPr>
          <w:rFonts w:hint="eastAsia"/>
          <w:sz w:val="18"/>
          <w:szCs w:val="18"/>
          <w:highlight w:val="none"/>
        </w:rPr>
        <w:t>本产品的托管人为招商</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b/>
          <w:bCs/>
          <w:sz w:val="18"/>
          <w:szCs w:val="18"/>
          <w:highlight w:val="none"/>
        </w:rPr>
      </w:pPr>
      <w:r>
        <w:rPr>
          <w:rFonts w:hint="eastAsia"/>
          <w:sz w:val="18"/>
          <w:szCs w:val="18"/>
          <w:highlight w:val="none"/>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highlight w:val="none"/>
        </w:rPr>
      </w:pPr>
      <w:r>
        <w:rPr>
          <w:rFonts w:hint="eastAsia"/>
          <w:sz w:val="18"/>
          <w:szCs w:val="18"/>
          <w:highlight w:val="none"/>
        </w:rPr>
        <w:t>【暂停估值】</w:t>
      </w:r>
    </w:p>
    <w:p>
      <w:pPr>
        <w:adjustRightInd w:val="0"/>
        <w:snapToGrid w:val="0"/>
        <w:spacing w:line="286" w:lineRule="auto"/>
        <w:rPr>
          <w:rFonts w:hint="eastAsia"/>
          <w:sz w:val="18"/>
          <w:szCs w:val="18"/>
          <w:highlight w:val="none"/>
        </w:rPr>
      </w:pPr>
      <w:r>
        <w:rPr>
          <w:rFonts w:hint="eastAsia"/>
          <w:sz w:val="18"/>
          <w:szCs w:val="18"/>
          <w:highlight w:val="none"/>
        </w:rPr>
        <w:t>本理财计划可暂停估值的情形如下：</w:t>
      </w:r>
    </w:p>
    <w:p>
      <w:pPr>
        <w:numPr>
          <w:ilvl w:val="0"/>
          <w:numId w:val="1"/>
        </w:numPr>
        <w:adjustRightInd w:val="0"/>
        <w:snapToGrid w:val="0"/>
        <w:spacing w:line="286" w:lineRule="auto"/>
        <w:rPr>
          <w:rFonts w:hint="eastAsia"/>
          <w:sz w:val="18"/>
          <w:szCs w:val="18"/>
          <w:highlight w:val="none"/>
        </w:rPr>
      </w:pPr>
      <w:r>
        <w:rPr>
          <w:rFonts w:hint="eastAsia"/>
          <w:sz w:val="18"/>
          <w:szCs w:val="18"/>
          <w:highlight w:val="none"/>
        </w:rPr>
        <w:t>理财产品投资所涉及的交易市场遇法定节假日或其他原因暂停营业时。</w:t>
      </w:r>
    </w:p>
    <w:p>
      <w:pPr>
        <w:adjustRightInd w:val="0"/>
        <w:snapToGrid w:val="0"/>
        <w:spacing w:line="286" w:lineRule="auto"/>
        <w:rPr>
          <w:rFonts w:hint="eastAsia"/>
          <w:b/>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rFonts w:hint="eastAsia"/>
          <w:b/>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b/>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color w:val="000000"/>
          <w:sz w:val="18"/>
          <w:szCs w:val="18"/>
          <w:highlight w:val="none"/>
        </w:rPr>
        <w:t>本产品业绩比较基准为3.10%（年化）。本产品业绩比较基准仅作为计提产品浮动管理费的依据，不构成温州银行对该理财产品的任何收益承诺。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default"/>
          <w:color w:val="000000"/>
          <w:sz w:val="18"/>
          <w:szCs w:val="18"/>
          <w:highlight w:val="none"/>
        </w:rPr>
        <w:t>2023年11月7日</w:t>
      </w:r>
      <w:r>
        <w:rPr>
          <w:rFonts w:hint="eastAsia"/>
          <w:sz w:val="18"/>
          <w:highlight w:val="none"/>
        </w:rPr>
        <w:t>至</w:t>
      </w:r>
      <w:r>
        <w:rPr>
          <w:rFonts w:hint="default"/>
          <w:color w:val="000000"/>
          <w:sz w:val="18"/>
          <w:highlight w:val="none"/>
        </w:rPr>
        <w:t>2023年11月13日</w:t>
      </w:r>
      <w:r>
        <w:rPr>
          <w:rFonts w:hint="eastAsia"/>
          <w:sz w:val="18"/>
          <w:szCs w:val="18"/>
          <w:highlight w:val="none"/>
        </w:rPr>
        <w:t>，认购份额=认购金额÷1元</w:t>
      </w:r>
    </w:p>
    <w:p>
      <w:pPr>
        <w:adjustRightInd w:val="0"/>
        <w:snapToGrid w:val="0"/>
        <w:spacing w:line="286" w:lineRule="auto"/>
        <w:rPr>
          <w:rFonts w:hint="eastAsia"/>
          <w:sz w:val="18"/>
          <w:szCs w:val="18"/>
          <w:highlight w:val="none"/>
        </w:rPr>
      </w:pPr>
      <w:r>
        <w:rPr>
          <w:rFonts w:hint="eastAsia"/>
          <w:sz w:val="18"/>
          <w:szCs w:val="18"/>
          <w:highlight w:val="none"/>
        </w:rPr>
        <w:t>（1）发生以下情形，管理人可以决定是否拒绝或暂停接受全部或部分投资者的认购申请：</w:t>
      </w:r>
    </w:p>
    <w:p>
      <w:pPr>
        <w:adjustRightInd w:val="0"/>
        <w:snapToGrid w:val="0"/>
        <w:spacing w:line="286" w:lineRule="auto"/>
        <w:rPr>
          <w:rFonts w:hint="eastAsia"/>
          <w:sz w:val="18"/>
          <w:szCs w:val="18"/>
          <w:highlight w:val="none"/>
        </w:rPr>
      </w:pPr>
      <w:r>
        <w:rPr>
          <w:rFonts w:hint="eastAsia"/>
          <w:sz w:val="18"/>
          <w:szCs w:val="18"/>
          <w:highlight w:val="none"/>
        </w:rPr>
        <w:t>1）投资者认购超过产品说明书约定的发行规模上限、单笔认/申购上限、单一客户持有上限等。</w:t>
      </w:r>
    </w:p>
    <w:p>
      <w:pPr>
        <w:adjustRightInd w:val="0"/>
        <w:snapToGrid w:val="0"/>
        <w:spacing w:line="286" w:lineRule="auto"/>
        <w:rPr>
          <w:rFonts w:hint="eastAsia"/>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pPr>
        <w:adjustRightInd w:val="0"/>
        <w:snapToGrid w:val="0"/>
        <w:spacing w:line="286" w:lineRule="auto"/>
        <w:rPr>
          <w:rFonts w:hint="eastAsia"/>
          <w:sz w:val="18"/>
          <w:szCs w:val="18"/>
          <w:highlight w:val="none"/>
        </w:rPr>
      </w:pPr>
      <w:r>
        <w:rPr>
          <w:rFonts w:hint="eastAsia"/>
          <w:sz w:val="18"/>
          <w:szCs w:val="18"/>
          <w:highlight w:val="none"/>
        </w:rPr>
        <w:t>3）法律法规规定或监管机构认定的其他情形。</w:t>
      </w:r>
    </w:p>
    <w:p>
      <w:pPr>
        <w:adjustRightInd w:val="0"/>
        <w:snapToGrid w:val="0"/>
        <w:spacing w:line="286" w:lineRule="auto"/>
        <w:rPr>
          <w:rFonts w:hint="eastAsia"/>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pPr>
        <w:adjustRightInd w:val="0"/>
        <w:snapToGrid w:val="0"/>
        <w:spacing w:line="286" w:lineRule="auto"/>
        <w:rPr>
          <w:sz w:val="18"/>
          <w:szCs w:val="18"/>
          <w:highlight w:val="none"/>
        </w:rPr>
      </w:pPr>
      <w:r>
        <w:rPr>
          <w:rFonts w:hint="eastAsia"/>
          <w:sz w:val="18"/>
          <w:szCs w:val="18"/>
          <w:highlight w:val="none"/>
        </w:rPr>
        <w:t>本产品预计到期终止日为</w:t>
      </w:r>
      <w:r>
        <w:rPr>
          <w:rFonts w:hint="default"/>
          <w:color w:val="000000"/>
          <w:sz w:val="18"/>
          <w:szCs w:val="18"/>
          <w:highlight w:val="none"/>
        </w:rPr>
        <w:t>2024年3月12日</w:t>
      </w:r>
      <w:r>
        <w:rPr>
          <w:rFonts w:hint="eastAsia"/>
          <w:sz w:val="18"/>
          <w:highlight w:val="none"/>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（2）计算示例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119天。假设产品业绩比较基准为3.1%。到期时扣除托管费、销售服务费、固定管理费及其他费用（如有）后，如产品净值为1.012，此时，(1.012/1.00-1)×365/119=3.68%&gt;3.1%，即投资收益超越业绩比较基准，则投资管理人对超过业绩比较基准部分收益收取浮动管理费，浮动管理费为：1,000,000.00×[1.012-1.00×(1+3.1%×119/365)]×80%=1514.52（元）。扣除浮动管理费后，客户最终收益为：1,000,000.00×（1.012-1.00）-1514.52=10485.48（元），产品到期时，客户获得的实际收益相当于达到年化收益率水平为：10485.48/1,000,000.00×365/119=3.22%。</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119天。假设产品业绩比较基准为3.1%。到期时扣除托管费、销售服务费、固定管理费及其他费用（如有）后，如产品净值为1.01，此时，(1.01/1.00-1)×365/119=3.07%&lt;3.1%，即投资收益未达到业绩比较基准，则投资管理人不收取浮动管理费，客户最终收益为：1,000,000.00×(1.01-1.00）=10000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119天。假设产品业绩比较基准为3.1%，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2"/>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2"/>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rFonts w:hint="eastAsia"/>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sz w:val="18"/>
          <w:szCs w:val="18"/>
          <w:highlight w:val="none"/>
        </w:rPr>
        <w:t>或证券市场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sz w:val="18"/>
          <w:szCs w:val="18"/>
          <w:highlight w:val="none"/>
        </w:rPr>
      </w:pPr>
      <w:r>
        <w:rPr>
          <w:rFonts w:hint="eastAsia"/>
          <w:sz w:val="18"/>
          <w:szCs w:val="18"/>
          <w:highlight w:val="none"/>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highlight w:val="none"/>
        </w:rPr>
      </w:pP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（3）《温州银行“金鹿理财-普惠季享”</w:t>
      </w:r>
      <w:r>
        <w:rPr>
          <w:rFonts w:hint="default"/>
          <w:color w:val="000000"/>
          <w:sz w:val="18"/>
          <w:szCs w:val="18"/>
          <w:highlight w:val="none"/>
        </w:rPr>
        <w:t>23011</w:t>
      </w:r>
      <w:r>
        <w:rPr>
          <w:rFonts w:hint="eastAsia"/>
          <w:sz w:val="18"/>
          <w:szCs w:val="18"/>
          <w:highlight w:val="none"/>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aUmHVFVDnhwHKJLmmdLVzj+ahm4=" w:salt="1ITBXd69zV3sZb03ZgQ9/A=="/>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6075F"/>
    <w:rsid w:val="002C0BA1"/>
    <w:rsid w:val="0035671B"/>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832709"/>
    <w:rsid w:val="00866A5E"/>
    <w:rsid w:val="008D04F3"/>
    <w:rsid w:val="009115E2"/>
    <w:rsid w:val="009E3776"/>
    <w:rsid w:val="00A31BAB"/>
    <w:rsid w:val="00A91900"/>
    <w:rsid w:val="00B032AE"/>
    <w:rsid w:val="00B92FF5"/>
    <w:rsid w:val="00BA2E46"/>
    <w:rsid w:val="00BB181E"/>
    <w:rsid w:val="00BB1978"/>
    <w:rsid w:val="00BB27A2"/>
    <w:rsid w:val="00BD4A8F"/>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F32AE1"/>
    <w:rsid w:val="00F33115"/>
    <w:rsid w:val="00F46191"/>
    <w:rsid w:val="00F81FE4"/>
    <w:rsid w:val="00FF3E7B"/>
    <w:rsid w:val="011D0799"/>
    <w:rsid w:val="018C5462"/>
    <w:rsid w:val="01B25DFE"/>
    <w:rsid w:val="020D5912"/>
    <w:rsid w:val="03C64591"/>
    <w:rsid w:val="03E90339"/>
    <w:rsid w:val="05256D34"/>
    <w:rsid w:val="06F87141"/>
    <w:rsid w:val="07BB40C7"/>
    <w:rsid w:val="08EF38EC"/>
    <w:rsid w:val="09446D7E"/>
    <w:rsid w:val="0A1675AA"/>
    <w:rsid w:val="0AC90772"/>
    <w:rsid w:val="0EAE5E5E"/>
    <w:rsid w:val="0F4B6711"/>
    <w:rsid w:val="104F44D5"/>
    <w:rsid w:val="109B1F8D"/>
    <w:rsid w:val="10B17669"/>
    <w:rsid w:val="14237D99"/>
    <w:rsid w:val="14C54C98"/>
    <w:rsid w:val="161D1528"/>
    <w:rsid w:val="17BF4271"/>
    <w:rsid w:val="19E25A8D"/>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13A7139"/>
    <w:rsid w:val="31AC46DA"/>
    <w:rsid w:val="32683389"/>
    <w:rsid w:val="3318043A"/>
    <w:rsid w:val="34F321CC"/>
    <w:rsid w:val="36C936FE"/>
    <w:rsid w:val="38FC2B02"/>
    <w:rsid w:val="39766FF2"/>
    <w:rsid w:val="3A3C4BCB"/>
    <w:rsid w:val="3A9532FB"/>
    <w:rsid w:val="3B57FF03"/>
    <w:rsid w:val="3BBF210A"/>
    <w:rsid w:val="3BFBD5F2"/>
    <w:rsid w:val="3C5B2CDB"/>
    <w:rsid w:val="3D150741"/>
    <w:rsid w:val="3E2566A4"/>
    <w:rsid w:val="3F7E5351"/>
    <w:rsid w:val="4146226E"/>
    <w:rsid w:val="426E0D72"/>
    <w:rsid w:val="434002F8"/>
    <w:rsid w:val="43712A5A"/>
    <w:rsid w:val="4409550D"/>
    <w:rsid w:val="462B298E"/>
    <w:rsid w:val="4769700F"/>
    <w:rsid w:val="4E424101"/>
    <w:rsid w:val="4E9D337C"/>
    <w:rsid w:val="4EFE40C2"/>
    <w:rsid w:val="54133033"/>
    <w:rsid w:val="546F0E0A"/>
    <w:rsid w:val="56865A7D"/>
    <w:rsid w:val="56AB5155"/>
    <w:rsid w:val="57313966"/>
    <w:rsid w:val="58121B96"/>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D15771F"/>
    <w:rsid w:val="718A5772"/>
    <w:rsid w:val="76592994"/>
    <w:rsid w:val="79632EC7"/>
    <w:rsid w:val="7AFF2EFC"/>
    <w:rsid w:val="7F6E34E0"/>
    <w:rsid w:val="BDC7AFFB"/>
    <w:rsid w:val="BFFF61E0"/>
    <w:rsid w:val="E81F8FE0"/>
    <w:rsid w:val="EB7A3EF3"/>
    <w:rsid w:val="FBAF34BD"/>
    <w:rsid w:val="FEEF77FE"/>
    <w:rsid w:val="FF5F557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unhideWhenUsed/>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rPr>
      <w:rFonts w:ascii="Times New Roman" w:hAnsi="Times New Roman"/>
    </w:r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2073</Words>
  <Characters>11818</Characters>
  <Lines>98</Lines>
  <Paragraphs>27</Paragraphs>
  <TotalTime>8</TotalTime>
  <ScaleCrop>false</ScaleCrop>
  <LinksUpToDate>false</LinksUpToDate>
  <CharactersWithSpaces>13864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2022-03-09T23:10:00Z</dcterms:created>
  <dc:creator>陈浩</dc:creator>
  <cp:lastModifiedBy>应心茹</cp:lastModifiedBy>
  <dcterms:modified xsi:type="dcterms:W3CDTF">2023-11-03T07:02:58Z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