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普惠颐养”20025号开放式净值型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2023年11月8日至2023年11月14日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2024年11月13日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2026年11月4日</w:t>
            </w:r>
            <w:r>
              <w:rPr>
                <w:rFonts w:hint="eastAsia" w:ascii="宋体" w:hAnsi="宋体" w:eastAsia="宋体" w:cs="Times New Roman"/>
                <w:color w:val="000000"/>
                <w:kern w:val="0"/>
                <w:sz w:val="18"/>
                <w:szCs w:val="18"/>
                <w:u w:val="single"/>
                <w:lang w:val="en-US" w:eastAsia="zh-Hans" w:bidi="ar-SA"/>
              </w:rPr>
              <w:t>至2026年11月10日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2026年11月11日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20025号开放式净值型银行理财计划风险揭示书》、《温州银行“金鹿理财-普惠颐养”20025号开放式净值型银行理财计划产品说明书》、《温州银行“金鹿理财-普惠颐养”20025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003bvsyOrvqS+s6mZ3WVvi8AXg=" w:salt="X3Yz1IUdto+FO3TE+2ou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5A3588E"/>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2023-11-03T06:56:05Z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