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23022</w:t>
      </w:r>
      <w:r>
        <w:rPr>
          <w:rFonts w:hint="eastAsia" w:ascii="黑体" w:eastAsia="黑体"/>
          <w:sz w:val="30"/>
          <w:szCs w:val="30"/>
          <w:highlight w:val="none"/>
        </w:rPr>
        <w:t>号（稳健低波款）银行理财计划风险揭示书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23022</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lang w:val="en-US" w:eastAsia="zh-CN"/>
        </w:rPr>
        <w:t>399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w:t>
      </w:r>
      <w:bookmarkStart w:id="0" w:name="_GoBack"/>
      <w:bookmarkEnd w:id="0"/>
      <w:r>
        <w:rPr>
          <w:rFonts w:hint="eastAsia" w:ascii="宋体" w:hAnsi="宋体"/>
          <w:szCs w:val="21"/>
          <w:highlight w:val="none"/>
        </w:rPr>
        <w:t>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23022</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23022</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6"/>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23022</w:t>
      </w:r>
      <w:r>
        <w:rPr>
          <w:rFonts w:hint="eastAsia" w:ascii="黑体" w:eastAsia="黑体"/>
          <w:bCs/>
          <w:sz w:val="30"/>
          <w:szCs w:val="30"/>
          <w:highlight w:val="none"/>
        </w:rPr>
        <w:t>号（稳健低波款）</w:t>
      </w: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23022</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23022</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JW2322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C1092223000028</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lang w:val="en-US" w:eastAsia="zh-CN"/>
              </w:rPr>
              <w:t>399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w:t>
            </w:r>
            <w:r>
              <w:rPr>
                <w:rFonts w:hint="eastAsia"/>
                <w:sz w:val="18"/>
                <w:szCs w:val="18"/>
                <w:highlight w:val="none"/>
                <w:lang w:val="en-US" w:eastAsia="zh-CN"/>
              </w:rPr>
              <w:t>2</w:t>
            </w:r>
            <w:r>
              <w:rPr>
                <w:rFonts w:hint="eastAsia"/>
                <w:sz w:val="18"/>
                <w:szCs w:val="18"/>
                <w:highlight w:val="none"/>
              </w:rPr>
              <w:t>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2023年11月14日</w:t>
            </w:r>
            <w:r>
              <w:rPr>
                <w:rFonts w:hint="eastAsia"/>
                <w:sz w:val="18"/>
                <w:highlight w:val="none"/>
                <w:u w:val="single"/>
              </w:rPr>
              <w:t>至</w:t>
            </w:r>
            <w:r>
              <w:rPr>
                <w:rFonts w:hint="default"/>
                <w:color w:val="000000"/>
                <w:sz w:val="18"/>
                <w:highlight w:val="none"/>
                <w:u w:val="single"/>
              </w:rPr>
              <w:t>2023年11月20日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highlight w:val="none"/>
                <w:u w:val="single"/>
              </w:rPr>
              <w:t>2024年12月24日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3.45%（年化）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rFonts w:hint="eastAsia"/>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本产品业绩比较基准为3.45%（年化）。本产品业绩比较基准仅作为计提产品浮动管理费的依据，不构成温州银行对该理财产品的任何收益承诺。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highlight w:val="none"/>
        </w:rPr>
        <w:t>2023年11月14日</w:t>
      </w:r>
      <w:r>
        <w:rPr>
          <w:rFonts w:hint="eastAsia"/>
          <w:sz w:val="18"/>
          <w:highlight w:val="none"/>
        </w:rPr>
        <w:t>至</w:t>
      </w:r>
      <w:r>
        <w:rPr>
          <w:rFonts w:hint="default"/>
          <w:color w:val="000000"/>
          <w:sz w:val="18"/>
          <w:highlight w:val="none"/>
        </w:rPr>
        <w:t>2023年11月20日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sz w:val="18"/>
          <w:highlight w:val="none"/>
        </w:rPr>
      </w:pPr>
      <w:r>
        <w:rPr>
          <w:rFonts w:hint="eastAsia"/>
          <w:sz w:val="18"/>
          <w:szCs w:val="18"/>
          <w:highlight w:val="none"/>
        </w:rPr>
        <w:t>本产品预计到期终止日为</w:t>
      </w:r>
      <w:r>
        <w:rPr>
          <w:rFonts w:hint="default"/>
          <w:color w:val="000000"/>
          <w:sz w:val="18"/>
          <w:highlight w:val="none"/>
        </w:rPr>
        <w:t>2024年12月24日</w:t>
      </w:r>
      <w:r>
        <w:rPr>
          <w:rFonts w:hint="eastAsia"/>
          <w:sz w:val="18"/>
          <w:highlight w:val="none"/>
        </w:rPr>
        <w:t>，如发生下列情形之一的，温州银行有权但无义务终止理财计划：</w:t>
      </w:r>
    </w:p>
    <w:p>
      <w:pPr>
        <w:numPr>
          <w:ilvl w:val="0"/>
          <w:numId w:val="1"/>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399天。假设产品业绩比较基准为3.45%。到期时扣除托管费、销售服务费、固定管理费及其他费用（如有）后，如产品净值为1.04，此时， (1.04/1.00-1)×365/399=3.66%&gt;3.45%，即投资收益超越业绩比较基准，则投资管理人对超过业绩比较基准部分收益收取浮动管理费，浮动管理费为：1,000,000.00×[1.04-1.00×(1+3.45%×399/365)]×80%=1829.04（元）。扣除浮动管理费后，客户最终收益为：1,000,000.00×（1.04-1.00）-1829.04=38170.96（元），产品到期时，客户获得的实际收益相当于达到年化收益率水平为：38170.96/1,000,000.00×365/399=3.49%。</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399天。假设产品业绩比较基准为3.45%。到期时扣除托管费、销售服务费、固定管理费及其他费用（如有）后，如产品净值为1.03，此时，(1.03/1.00-1)×365/399=2.74%&lt;3.45%，即投资收益未达到业绩比较基准，则投资管理人不收取浮动管理费，客户最终收益为：1,000,000.00×(1.03-1.00）=30000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399天。假设产品业绩比较基准为3.45%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23022</w:t>
      </w:r>
      <w:r>
        <w:rPr>
          <w:rFonts w:hint="eastAsia"/>
          <w:sz w:val="18"/>
          <w:szCs w:val="18"/>
          <w:highlight w:val="none"/>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dit="readOnly" w:enforcement="1" w:cryptProviderType="rsaFull" w:cryptAlgorithmClass="hash" w:cryptAlgorithmType="typeAny" w:cryptAlgorithmSid="4" w:cryptSpinCount="0" w:hash="UWeLkIc+sHARyB6FOvHfQ3ijM34=" w:salt="NAxRNy9/dIkKOZJE2pIbpA=="/>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714A37"/>
    <w:rsid w:val="00737995"/>
    <w:rsid w:val="00757B1C"/>
    <w:rsid w:val="00766CF2"/>
    <w:rsid w:val="0078088F"/>
    <w:rsid w:val="007828DA"/>
    <w:rsid w:val="007918BA"/>
    <w:rsid w:val="00795498"/>
    <w:rsid w:val="007A7805"/>
    <w:rsid w:val="00832709"/>
    <w:rsid w:val="00836614"/>
    <w:rsid w:val="00866A5E"/>
    <w:rsid w:val="009115E2"/>
    <w:rsid w:val="009E3776"/>
    <w:rsid w:val="009E5DE6"/>
    <w:rsid w:val="00A529EE"/>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C64591"/>
    <w:rsid w:val="04752421"/>
    <w:rsid w:val="063C4CD8"/>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3535C37"/>
    <w:rsid w:val="26531D8B"/>
    <w:rsid w:val="268A5E41"/>
    <w:rsid w:val="275A751E"/>
    <w:rsid w:val="27BD2B01"/>
    <w:rsid w:val="27DE6CFF"/>
    <w:rsid w:val="28076A45"/>
    <w:rsid w:val="296645C3"/>
    <w:rsid w:val="2ACF0E36"/>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0"/>
    <w:unhideWhenUsed/>
    <w:uiPriority w:val="99"/>
    <w:pPr>
      <w:jc w:val="left"/>
    </w:pPr>
    <w:rPr>
      <w:rFonts w:ascii="Times New Roman" w:hAnsi="Times New Roman"/>
    </w:rPr>
  </w:style>
  <w:style w:type="paragraph" w:styleId="3">
    <w:name w:val="Plain Text"/>
    <w:basedOn w:val="1"/>
    <w:link w:val="11"/>
    <w:unhideWhenUsed/>
    <w:uiPriority w:val="99"/>
    <w:rPr>
      <w:rFonts w:ascii="宋体" w:hAnsi="Courier New"/>
      <w:kern w:val="0"/>
      <w:sz w:val="20"/>
      <w:szCs w:val="21"/>
    </w:rPr>
  </w:style>
  <w:style w:type="paragraph" w:styleId="4">
    <w:name w:val="Balloon Text"/>
    <w:basedOn w:val="1"/>
    <w:link w:val="12"/>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批注文字 字符"/>
    <w:link w:val="2"/>
    <w:uiPriority w:val="99"/>
    <w:rPr>
      <w:rFonts w:ascii="Times New Roman" w:hAnsi="Times New Roman"/>
      <w:kern w:val="2"/>
      <w:sz w:val="21"/>
    </w:rPr>
  </w:style>
  <w:style w:type="character" w:customStyle="1" w:styleId="11">
    <w:name w:val="纯文本 字符"/>
    <w:link w:val="3"/>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1954</Words>
  <Characters>11138</Characters>
  <Lines>92</Lines>
  <Paragraphs>26</Paragraphs>
  <TotalTime>25</TotalTime>
  <ScaleCrop>false</ScaleCrop>
  <LinksUpToDate>false</LinksUpToDate>
  <CharactersWithSpaces>13066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2023-11-10T02:52:24Z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