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w:t>
      </w:r>
      <w:bookmarkStart w:id="0" w:name="_GoBack"/>
      <w:bookmarkEnd w:id="0"/>
      <w:r>
        <w:rPr>
          <w:rFonts w:hint="eastAsia" w:ascii="宋体" w:hAnsi="宋体"/>
          <w:szCs w:val="21"/>
        </w:rPr>
        <w:t>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20005号开放式净值型银行理财计划产品说明书》、《温州银行“金鹿理财-温盈”20005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20005号开放式净值型银行理财计划风险揭示书》、《温州银行“金鹿理财”银行理财计划合约》、《温州银行“金鹿理财-温盈”20005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OAl86xPVx6+DDxy7lwc64EKXPo=" w:salt="qTBduoZAGCp+OXwcODJL7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921527A"/>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2023-11-10T03:01:31Z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