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普惠颐养”21045号开放式净值型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2023年11月17日至2023年11月23日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2025年11月19日</w:t>
            </w:r>
            <w:r>
              <w:rPr>
                <w:rFonts w:hint="eastAsia" w:ascii="宋体" w:hAnsi="宋体" w:eastAsia="宋体" w:cs="Times New Roman"/>
                <w:color w:val="000000"/>
                <w:kern w:val="0"/>
                <w:sz w:val="18"/>
                <w:szCs w:val="18"/>
                <w:u w:val="single"/>
                <w:lang w:val="en-US" w:eastAsia="zh-Hans" w:bidi="ar-SA"/>
              </w:rPr>
              <w:t>至2025年11月25日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2025年11月26日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21045号开放式净值型银行理财计划风险揭示书》、《温州银行“金鹿理财-普惠颐养”21045号开放式净值型银行理财计划产品说明书》、《温州银行“金鹿理财-普惠颐养”21045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IjL9h22wClC7W9scVuUE0LogKmI=" w:salt="ktwQv12QBrxsbL81sNC6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5E22FB1"/>
    <w:rsid w:val="7F7EC3B3"/>
    <w:rsid w:val="BBDDF786"/>
    <w:rsid w:val="E7EC35E9"/>
    <w:rsid w:val="EAFE2858"/>
    <w:rsid w:val="FD3FE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2023-11-10T02:28:27Z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