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r>
        <w:rPr>
          <w:rFonts w:hint="eastAsia" w:ascii="黑体" w:eastAsia="黑体"/>
          <w:sz w:val="30"/>
          <w:szCs w:val="30"/>
          <w:highlight w:val="none"/>
        </w:rPr>
        <w:t>温州银行“金鹿理财-普惠季享”</w:t>
      </w:r>
      <w:r>
        <w:rPr>
          <w:rFonts w:hint="default" w:ascii="黑体" w:eastAsia="黑体"/>
          <w:color w:val="000000"/>
          <w:sz w:val="30"/>
          <w:szCs w:val="30"/>
          <w:highlight w:val="none"/>
          <w:u w:val="single"/>
        </w:rPr>
        <w:t>23023</w:t>
      </w:r>
      <w:r>
        <w:rPr>
          <w:rFonts w:hint="eastAsia" w:ascii="黑体" w:eastAsia="黑体"/>
          <w:sz w:val="30"/>
          <w:szCs w:val="30"/>
          <w:highlight w:val="none"/>
        </w:rPr>
        <w:t>号（共同富裕特别款）银行理财计划风险揭示书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default"/>
          <w:color w:val="000000"/>
          <w:szCs w:val="21"/>
          <w:highlight w:val="none"/>
          <w:u w:val="single"/>
        </w:rPr>
        <w:t>23023</w:t>
      </w:r>
      <w:r>
        <w:rPr>
          <w:rFonts w:hint="eastAsia"/>
          <w:szCs w:val="21"/>
          <w:highlight w:val="none"/>
        </w:rPr>
        <w:t>号（共同富裕特别款）银行理财计划，投资类型属于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rPr>
        <w:t>119</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w:t>
      </w:r>
      <w:r>
        <w:rPr>
          <w:rFonts w:hint="eastAsia" w:ascii="宋体" w:hAnsi="宋体"/>
          <w:szCs w:val="21"/>
          <w:highlight w:val="none"/>
        </w:rPr>
        <w:t>本理财产</w:t>
      </w:r>
      <w:bookmarkStart w:id="0" w:name="_GoBack"/>
      <w:bookmarkEnd w:id="0"/>
      <w:r>
        <w:rPr>
          <w:rFonts w:hint="eastAsia" w:ascii="宋体" w:hAnsi="宋体"/>
          <w:szCs w:val="21"/>
          <w:highlight w:val="none"/>
        </w:rPr>
        <w:t>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default" w:ascii="宋体"/>
          <w:color w:val="000000"/>
          <w:szCs w:val="21"/>
          <w:highlight w:val="none"/>
          <w:u w:val="single"/>
        </w:rPr>
        <w:t>23023</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default" w:ascii="宋体"/>
          <w:color w:val="000000"/>
          <w:szCs w:val="21"/>
          <w:highlight w:val="none"/>
          <w:u w:val="single"/>
        </w:rPr>
        <w:t>23023</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9"/>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default" w:ascii="黑体" w:eastAsia="黑体"/>
          <w:color w:val="000000"/>
          <w:sz w:val="30"/>
          <w:szCs w:val="30"/>
          <w:highlight w:val="none"/>
          <w:u w:val="single"/>
        </w:rPr>
        <w:t>23023</w:t>
      </w:r>
      <w:r>
        <w:rPr>
          <w:rFonts w:hint="eastAsia" w:ascii="黑体" w:eastAsia="黑体"/>
          <w:bCs/>
          <w:sz w:val="30"/>
          <w:szCs w:val="30"/>
          <w:highlight w:val="none"/>
        </w:rPr>
        <w:t>号（共同富裕特别款）</w:t>
      </w: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default"/>
          <w:color w:val="000000"/>
          <w:sz w:val="18"/>
          <w:szCs w:val="18"/>
          <w:highlight w:val="none"/>
        </w:rPr>
        <w:t>23023</w:t>
      </w:r>
      <w:r>
        <w:rPr>
          <w:rFonts w:hint="eastAsia"/>
          <w:sz w:val="18"/>
          <w:szCs w:val="18"/>
          <w:highlight w:val="none"/>
        </w:rPr>
        <w:t>号（共同富裕特别款）银行理财计划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default"/>
                <w:color w:val="000000"/>
                <w:sz w:val="18"/>
                <w:szCs w:val="18"/>
                <w:highlight w:val="none"/>
                <w:u w:val="single"/>
              </w:rPr>
              <w:t>23023</w:t>
            </w:r>
            <w:r>
              <w:rPr>
                <w:sz w:val="18"/>
                <w:szCs w:val="18"/>
                <w:highlight w:val="none"/>
              </w:rPr>
              <w:t>号</w:t>
            </w:r>
            <w:r>
              <w:rPr>
                <w:rFonts w:hint="eastAsia"/>
                <w:sz w:val="18"/>
                <w:szCs w:val="18"/>
                <w:highlight w:val="none"/>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JX2323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C1092223000062</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rPr>
              <w:t>119</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2023年11月21日</w:t>
            </w:r>
            <w:r>
              <w:rPr>
                <w:rFonts w:hint="eastAsia"/>
                <w:sz w:val="18"/>
                <w:highlight w:val="none"/>
                <w:u w:val="single"/>
              </w:rPr>
              <w:t>至</w:t>
            </w:r>
            <w:r>
              <w:rPr>
                <w:rFonts w:hint="default"/>
                <w:color w:val="000000"/>
                <w:sz w:val="18"/>
                <w:highlight w:val="none"/>
                <w:u w:val="single"/>
              </w:rPr>
              <w:t>2023年11月27日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szCs w:val="18"/>
                <w:highlight w:val="none"/>
                <w:u w:val="single"/>
              </w:rPr>
              <w:t>2023年11月28日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szCs w:val="24"/>
                <w:highlight w:val="none"/>
                <w:u w:val="single"/>
              </w:rPr>
              <w:t>2024年3月26日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3.10%（年化）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highlight w:val="none"/>
              </w:rPr>
            </w:pPr>
            <w:r>
              <w:rPr>
                <w:rFonts w:hint="eastAsia" w:ascii="宋体" w:hAnsi="宋体"/>
                <w:sz w:val="18"/>
                <w:highlight w:val="none"/>
              </w:rPr>
              <w:t>单一投资者累计最大购买金额2000万元。</w:t>
            </w:r>
          </w:p>
          <w:p>
            <w:pPr>
              <w:adjustRightInd w:val="0"/>
              <w:snapToGrid w:val="0"/>
              <w:spacing w:line="288" w:lineRule="auto"/>
              <w:rPr>
                <w:rFonts w:ascii="宋体" w:hAnsi="宋体"/>
                <w:sz w:val="18"/>
                <w:highlight w:val="none"/>
              </w:rPr>
            </w:pPr>
            <w:r>
              <w:rPr>
                <w:rFonts w:hint="eastAsia" w:ascii="宋体" w:hAnsi="宋体"/>
                <w:sz w:val="18"/>
                <w:highlight w:val="none"/>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rFonts w:hint="eastAsia"/>
          <w:sz w:val="18"/>
          <w:szCs w:val="18"/>
          <w:highlight w:val="none"/>
        </w:rPr>
      </w:pPr>
      <w:r>
        <w:rPr>
          <w:rFonts w:hint="eastAsia"/>
          <w:sz w:val="18"/>
          <w:szCs w:val="18"/>
          <w:highlight w:val="none"/>
        </w:rPr>
        <w:t>本理财计划可暂停估值的情形如下：</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理财产品投资所涉及的交易市场遇法定节假日或其他原因暂停营业时。</w:t>
      </w:r>
    </w:p>
    <w:p>
      <w:pPr>
        <w:adjustRightInd w:val="0"/>
        <w:snapToGrid w:val="0"/>
        <w:spacing w:line="286" w:lineRule="auto"/>
        <w:rPr>
          <w:rFonts w:hint="eastAsia"/>
          <w:b/>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rFonts w:hint="eastAsia"/>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color w:val="000000"/>
          <w:sz w:val="18"/>
          <w:szCs w:val="18"/>
          <w:highlight w:val="none"/>
        </w:rPr>
        <w:t>本产品业绩比较基准为3.10%（年化）。本产品业绩比较基准仅作为计提产品浮动管理费的依据，不构成温州银行对该理财产品的任何收益承诺。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szCs w:val="18"/>
          <w:highlight w:val="none"/>
        </w:rPr>
        <w:t>2023年11月21日</w:t>
      </w:r>
      <w:r>
        <w:rPr>
          <w:rFonts w:hint="eastAsia"/>
          <w:sz w:val="18"/>
          <w:highlight w:val="none"/>
        </w:rPr>
        <w:t>至</w:t>
      </w:r>
      <w:r>
        <w:rPr>
          <w:rFonts w:hint="default"/>
          <w:color w:val="000000"/>
          <w:sz w:val="18"/>
          <w:highlight w:val="none"/>
        </w:rPr>
        <w:t>2023年11月27日</w:t>
      </w:r>
      <w:r>
        <w:rPr>
          <w:rFonts w:hint="eastAsia"/>
          <w:sz w:val="18"/>
          <w:szCs w:val="18"/>
          <w:highlight w:val="none"/>
        </w:rPr>
        <w:t>，认购份额=认购金额÷1元</w:t>
      </w:r>
    </w:p>
    <w:p>
      <w:pPr>
        <w:adjustRightInd w:val="0"/>
        <w:snapToGrid w:val="0"/>
        <w:spacing w:line="286" w:lineRule="auto"/>
        <w:rPr>
          <w:rFonts w:hint="eastAsia"/>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rFonts w:hint="eastAsia"/>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rFonts w:hint="eastAsia"/>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rFonts w:hint="eastAsia"/>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rFonts w:hint="eastAsia"/>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default"/>
          <w:color w:val="000000"/>
          <w:sz w:val="18"/>
          <w:szCs w:val="18"/>
          <w:highlight w:val="none"/>
        </w:rPr>
        <w:t>2024年3月26日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119天。假设产品业绩比较基准为3.1%。到期时扣除托管费、销售服务费、固定管理费及其他费用（如有）后，如产品净值为1.012，此时，(1.012/1.00-1)×365/119=3.68%&gt;3.1%，即投资收益超越业绩比较基准，则投资管理人对超过业绩比较基准部分收益收取浮动管理费，浮动管理费为：1,000,000.00×[1.012-1.00×(1+3.1%×119/365)]×80%=1514.52（元）。扣除浮动管理费后，客户最终收益为：1,000,000.00×（1.012-1.00）-1514.52=10485.48（元），产品到期时，客户获得的实际收益相当于达到年化收益率水平为：10485.48/1,000,000.00×365/119=3.22%。</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119天。假设产品业绩比较基准为3.1%。到期时扣除托管费、销售服务费、固定管理费及其他费用（如有）后，如产品净值为1.01，此时，(1.01/1.00-1)×365/119=3.07%&lt;3.1%，即投资收益未达到业绩比较基准，则投资管理人不收取浮动管理费，客户最终收益为：1,000,000.00×(1.01-1.00）=10000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119天。假设产品业绩比较基准为3.1%，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default"/>
          <w:color w:val="000000"/>
          <w:sz w:val="18"/>
          <w:szCs w:val="18"/>
          <w:highlight w:val="none"/>
        </w:rPr>
        <w:t>23023</w:t>
      </w:r>
      <w:r>
        <w:rPr>
          <w:rFonts w:hint="eastAsia"/>
          <w:sz w:val="18"/>
          <w:szCs w:val="18"/>
          <w:highlight w:val="none"/>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dwSeIvS0e4LVP6Qv1ModgWSpGCI=" w:salt="y/gAs6P15GTakeltKMDZNQ=="/>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35671B"/>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832709"/>
    <w:rsid w:val="00866A5E"/>
    <w:rsid w:val="008D04F3"/>
    <w:rsid w:val="009115E2"/>
    <w:rsid w:val="009E3776"/>
    <w:rsid w:val="00A31BAB"/>
    <w:rsid w:val="00A91900"/>
    <w:rsid w:val="00B032AE"/>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F32AE1"/>
    <w:rsid w:val="00F33115"/>
    <w:rsid w:val="00F46191"/>
    <w:rsid w:val="00F81FE4"/>
    <w:rsid w:val="00FF3E7B"/>
    <w:rsid w:val="011D0799"/>
    <w:rsid w:val="018C5462"/>
    <w:rsid w:val="01B25DFE"/>
    <w:rsid w:val="020D5912"/>
    <w:rsid w:val="03C64591"/>
    <w:rsid w:val="03E90339"/>
    <w:rsid w:val="05256D34"/>
    <w:rsid w:val="06F87141"/>
    <w:rsid w:val="07BB40C7"/>
    <w:rsid w:val="08EF38EC"/>
    <w:rsid w:val="09446D7E"/>
    <w:rsid w:val="0A1675AA"/>
    <w:rsid w:val="0AC90772"/>
    <w:rsid w:val="0EAE5E5E"/>
    <w:rsid w:val="0F4B6711"/>
    <w:rsid w:val="104F44D5"/>
    <w:rsid w:val="109B1F8D"/>
    <w:rsid w:val="10B17669"/>
    <w:rsid w:val="14237D99"/>
    <w:rsid w:val="14C54C98"/>
    <w:rsid w:val="161D1528"/>
    <w:rsid w:val="17BF4271"/>
    <w:rsid w:val="19E25A8D"/>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2854723"/>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62B298E"/>
    <w:rsid w:val="4769700F"/>
    <w:rsid w:val="4E424101"/>
    <w:rsid w:val="4E9D337C"/>
    <w:rsid w:val="4EFE40C2"/>
    <w:rsid w:val="54133033"/>
    <w:rsid w:val="546F0E0A"/>
    <w:rsid w:val="56865A7D"/>
    <w:rsid w:val="56AB5155"/>
    <w:rsid w:val="57313966"/>
    <w:rsid w:val="58121B96"/>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718A5772"/>
    <w:rsid w:val="76592994"/>
    <w:rsid w:val="79632EC7"/>
    <w:rsid w:val="7AFF2EFC"/>
    <w:rsid w:val="7F6E34E0"/>
    <w:rsid w:val="BDC7AFFB"/>
    <w:rsid w:val="BDFF5D3E"/>
    <w:rsid w:val="BFFF61E0"/>
    <w:rsid w:val="E81F8FE0"/>
    <w:rsid w:val="EB7A3EF3"/>
    <w:rsid w:val="FBAF34BD"/>
    <w:rsid w:val="FEEF77FE"/>
    <w:rsid w:val="FF5F557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rPr>
      <w:rFonts w:ascii="Times New Roman" w:hAnsi="Times New Roman"/>
    </w:rPr>
  </w:style>
  <w:style w:type="paragraph" w:styleId="3">
    <w:name w:val="Plain Text"/>
    <w:basedOn w:val="1"/>
    <w:link w:val="13"/>
    <w:unhideWhenUsed/>
    <w:uiPriority w:val="99"/>
    <w:rPr>
      <w:rFonts w:ascii="宋体" w:hAnsi="Courier New"/>
      <w:kern w:val="0"/>
      <w:sz w:val="20"/>
      <w:szCs w:val="21"/>
    </w:rPr>
  </w:style>
  <w:style w:type="paragraph" w:styleId="4">
    <w:name w:val="Balloon Text"/>
    <w:basedOn w:val="1"/>
    <w:link w:val="14"/>
    <w:unhideWhenUsed/>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2073</Words>
  <Characters>11818</Characters>
  <Lines>98</Lines>
  <Paragraphs>27</Paragraphs>
  <TotalTime>7</TotalTime>
  <ScaleCrop>false</ScaleCrop>
  <LinksUpToDate>false</LinksUpToDate>
  <CharactersWithSpaces>13864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2023-11-17T09:32:26Z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