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bookmarkStart w:id="0" w:name="_GoBack"/>
      <w:bookmarkEnd w:id="0"/>
      <w:r>
        <w:rPr>
          <w:rFonts w:hint="eastAsia" w:ascii="黑体" w:eastAsia="黑体"/>
          <w:sz w:val="30"/>
          <w:szCs w:val="30"/>
          <w:highlight w:val="none"/>
        </w:rPr>
        <w:t>温州银行“金鹿理财-臻享”</w:t>
      </w:r>
      <w:r>
        <w:rPr>
          <w:rFonts w:hint="default" w:ascii="黑体" w:eastAsia="黑体"/>
          <w:color w:val="000000"/>
          <w:sz w:val="30"/>
          <w:szCs w:val="30"/>
          <w:highlight w:val="none"/>
          <w:u w:val="single"/>
        </w:rPr>
        <w:t>23023</w:t>
      </w:r>
      <w:r>
        <w:rPr>
          <w:rFonts w:hint="eastAsia" w:ascii="黑体" w:eastAsia="黑体"/>
          <w:sz w:val="30"/>
          <w:szCs w:val="30"/>
          <w:highlight w:val="none"/>
          <w:u w:val="single"/>
        </w:rPr>
        <w:t>号</w:t>
      </w: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臻享”</w:t>
      </w:r>
      <w:r>
        <w:rPr>
          <w:rFonts w:hint="default"/>
          <w:color w:val="000000"/>
          <w:szCs w:val="21"/>
          <w:highlight w:val="none"/>
          <w:u w:val="single"/>
        </w:rPr>
        <w:t>23023</w:t>
      </w:r>
      <w:r>
        <w:rPr>
          <w:rFonts w:hint="eastAsia"/>
          <w:szCs w:val="21"/>
          <w:highlight w:val="none"/>
          <w:u w:val="single"/>
        </w:rPr>
        <w:t>号</w:t>
      </w:r>
      <w:r>
        <w:rPr>
          <w:rFonts w:hint="eastAsia"/>
          <w:szCs w:val="21"/>
          <w:highlight w:val="none"/>
        </w:rPr>
        <w:t>银行理财计划，投资类型属于</w:t>
      </w:r>
      <w:r>
        <w:rPr>
          <w:rFonts w:hint="eastAsia"/>
          <w:szCs w:val="21"/>
          <w:highlight w:val="none"/>
          <w:u w:val="single"/>
        </w:rPr>
        <w:t>混合类理财产品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szCs w:val="21"/>
          <w:highlight w:val="none"/>
          <w:u w:val="single"/>
        </w:rPr>
        <w:t xml:space="preserve"> </w:t>
      </w:r>
      <w:r>
        <w:rPr>
          <w:rFonts w:hint="default"/>
          <w:color w:val="000000"/>
          <w:szCs w:val="21"/>
          <w:highlight w:val="none"/>
          <w:u w:val="single"/>
        </w:rPr>
        <w:t>601</w:t>
      </w:r>
      <w:r>
        <w:rPr>
          <w:rFonts w:hint="eastAsia"/>
          <w:szCs w:val="21"/>
          <w:highlight w:val="none"/>
          <w:u w:val="single"/>
        </w:rPr>
        <w:t xml:space="preserve"> </w:t>
      </w:r>
      <w:r>
        <w:rPr>
          <w:rFonts w:hint="eastAsia"/>
          <w:szCs w:val="21"/>
          <w:highlight w:val="none"/>
        </w:rPr>
        <w:t>天，本产品客户</w:t>
      </w:r>
      <w:r>
        <w:rPr>
          <w:rFonts w:hint="eastAsia"/>
          <w:szCs w:val="21"/>
          <w:highlight w:val="none"/>
          <w:u w:val="single"/>
        </w:rPr>
        <w:t>无提前</w:t>
      </w:r>
      <w:r>
        <w:rPr>
          <w:rFonts w:hint="eastAsia"/>
          <w:szCs w:val="21"/>
          <w:highlight w:val="none"/>
        </w:rPr>
        <w:t>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本理财产品适合客户：经温州银行评估为稳健型、平衡型、进取型、激进型的个人合格投资者。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三、在您签约购买本理财产品前，应当仔细阅读本风险揭示书、《温州银行“金鹿理财”银行理财计划合约》、《温州银行“金鹿理财-臻享”</w:t>
      </w:r>
      <w:r>
        <w:rPr>
          <w:rFonts w:hint="default" w:ascii="宋体"/>
          <w:color w:val="000000"/>
          <w:szCs w:val="21"/>
          <w:highlight w:val="none"/>
          <w:u w:val="single"/>
        </w:rPr>
        <w:t>23023</w:t>
      </w:r>
      <w:r>
        <w:rPr>
          <w:rFonts w:hint="eastAsia" w:ascii="宋体" w:hAnsi="宋体"/>
          <w:szCs w:val="21"/>
          <w:highlight w:val="none"/>
        </w:rPr>
        <w:t>号银行理财计划产品说明书》和《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rPr>
          <w:b/>
          <w:szCs w:val="21"/>
          <w:highlight w:val="none"/>
          <w:u w:val="singl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2"/>
        <w:adjustRightInd w:val="0"/>
        <w:snapToGrid w:val="0"/>
        <w:spacing w:before="0" w:beforeAutospacing="0" w:after="0" w:afterAutospacing="0" w:line="360" w:lineRule="auto"/>
        <w:jc w:val="center"/>
        <w:rPr>
          <w:rFonts w:ascii="黑体" w:eastAsia="黑体"/>
          <w:bCs/>
          <w:sz w:val="30"/>
          <w:szCs w:val="30"/>
          <w:highlight w:val="none"/>
          <w:u w:val="single"/>
        </w:rPr>
      </w:pPr>
      <w:r>
        <w:rPr>
          <w:rFonts w:hint="eastAsia" w:ascii="黑体" w:eastAsia="黑体"/>
          <w:bCs/>
          <w:sz w:val="30"/>
          <w:szCs w:val="30"/>
          <w:highlight w:val="none"/>
        </w:rPr>
        <w:t>温州银行“金鹿理财-臻享”</w:t>
      </w:r>
      <w:r>
        <w:rPr>
          <w:rFonts w:hint="default" w:ascii="黑体" w:eastAsia="黑体"/>
          <w:bCs/>
          <w:color w:val="000000"/>
          <w:sz w:val="30"/>
          <w:szCs w:val="30"/>
          <w:highlight w:val="none"/>
          <w:u w:val="single"/>
        </w:rPr>
        <w:t>23023</w:t>
      </w:r>
      <w:r>
        <w:rPr>
          <w:rFonts w:hint="eastAsia" w:ascii="黑体" w:eastAsia="黑体"/>
          <w:bCs/>
          <w:sz w:val="30"/>
          <w:szCs w:val="30"/>
          <w:highlight w:val="none"/>
          <w:u w:val="single"/>
        </w:rPr>
        <w:t>号</w:t>
      </w:r>
    </w:p>
    <w:p>
      <w:pPr>
        <w:pStyle w:val="12"/>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本产品适合于合格投资者。</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臻享”</w:t>
      </w:r>
      <w:r>
        <w:rPr>
          <w:rFonts w:hint="default"/>
          <w:color w:val="000000"/>
          <w:sz w:val="18"/>
          <w:szCs w:val="18"/>
          <w:highlight w:val="none"/>
        </w:rPr>
        <w:t>23023</w:t>
      </w:r>
      <w:r>
        <w:rPr>
          <w:rFonts w:hint="eastAsia"/>
          <w:sz w:val="18"/>
          <w:szCs w:val="18"/>
          <w:highlight w:val="none"/>
        </w:rPr>
        <w:t>号银行理财计划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PR5</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PR4</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PR3</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PR2</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PR1</w:t>
            </w:r>
          </w:p>
        </w:tc>
        <w:tc>
          <w:tcPr>
            <w:tcW w:w="1418" w:type="dxa"/>
            <w:noWrap w:val="0"/>
            <w:vAlign w:val="center"/>
          </w:tcPr>
          <w:p>
            <w:pPr>
              <w:widowControl/>
              <w:adjustRightInd w:val="0"/>
              <w:snapToGrid w:val="0"/>
              <w:spacing w:line="300" w:lineRule="auto"/>
              <w:outlineLvl w:val="0"/>
              <w:rPr>
                <w:rFonts w:ascii="Times New Roman" w:hAnsi="Times New Roman"/>
                <w:b/>
                <w:sz w:val="18"/>
                <w:szCs w:val="18"/>
                <w:highlight w:val="none"/>
              </w:rPr>
            </w:pPr>
            <w:r>
              <w:rPr>
                <w:rFonts w:hint="eastAsia" w:ascii="Times New Roman" w:hAnsi="Times New Roman"/>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Dw+O801wAAAAUBAAAPAAAAAAAAAAEAIAAAACIAAABkcnMv&#10;ZG93bnJldi54bWxQSwECFAAUAAAACACHTuJAxgcFtwUEAAATFQAADgAAAAAAAAABACAAAAAmAQAA&#10;ZHJzL2Uyb0RvYy54bWxQSwUGAAAAAAYABgBZAQAAnQ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fYhyK9YAAAAFAQAADwAAAAAAAAABACAAAAAiAAAAZHJzL2Rvd25y&#10;ZXYueG1sUEsBAhQAFAAAAAgAh07iQOU4Mb0AAgAA+wMAAA4AAAAAAAAAAQAgAAAAJQEAAGRycy9l&#10;Mm9Eb2MueG1sUEsFBgAAAAAGAAYAWQEAAJcFA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teDneNYAAAAFAQAADwAAAAAAAAABACAAAAAiAAAAZHJzL2Rv&#10;d25yZXYueG1sUEsBAhQAFAAAAAgAh07iQL5zZ1EDAgAA/wMAAA4AAAAAAAAAAQAgAAAAJQEAAGRy&#10;cy9lMm9Eb2MueG1sUEsFBgAAAAAGAAYAWQEAAJoFA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臻享</w:t>
            </w:r>
            <w:r>
              <w:rPr>
                <w:sz w:val="18"/>
                <w:szCs w:val="18"/>
                <w:highlight w:val="none"/>
              </w:rPr>
              <w:t>”</w:t>
            </w:r>
            <w:r>
              <w:rPr>
                <w:rFonts w:hint="default"/>
                <w:color w:val="000000"/>
                <w:sz w:val="18"/>
                <w:szCs w:val="18"/>
                <w:highlight w:val="none"/>
                <w:u w:val="single"/>
              </w:rPr>
              <w:t>23023</w:t>
            </w:r>
            <w:r>
              <w:rPr>
                <w:sz w:val="18"/>
                <w:szCs w:val="18"/>
                <w:highlight w:val="none"/>
                <w:u w:val="single"/>
              </w:rPr>
              <w:t>号</w:t>
            </w:r>
            <w:r>
              <w:rPr>
                <w:rFonts w:hint="eastAsia"/>
                <w:sz w:val="18"/>
                <w:szCs w:val="18"/>
                <w:highlight w:val="none"/>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eastAsia"/>
                <w:color w:val="000000"/>
                <w:sz w:val="18"/>
                <w:szCs w:val="18"/>
                <w:highlight w:val="none"/>
              </w:rPr>
              <w:t>Z23023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color w:val="000000"/>
                <w:sz w:val="18"/>
                <w:szCs w:val="18"/>
                <w:highlight w:val="none"/>
                <w:lang w:val="en-US" w:eastAsia="zh-Hans"/>
              </w:rPr>
            </w:pPr>
            <w:r>
              <w:rPr>
                <w:rFonts w:hint="eastAsia"/>
                <w:color w:val="000000"/>
                <w:sz w:val="18"/>
                <w:szCs w:val="18"/>
                <w:highlight w:val="none"/>
                <w:lang w:val="en-US" w:eastAsia="zh-Hans"/>
              </w:rPr>
              <w:t>C1092223A000022</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混合类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default"/>
                <w:color w:val="000000"/>
                <w:sz w:val="18"/>
                <w:highlight w:val="none"/>
                <w:u w:val="single"/>
              </w:rPr>
              <w:t>601</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eastAsia"/>
                <w:color w:val="000000"/>
                <w:sz w:val="18"/>
                <w:highlight w:val="none"/>
                <w:u w:val="single"/>
              </w:rPr>
              <w:t>2023年11月22日至</w:t>
            </w:r>
            <w:r>
              <w:rPr>
                <w:rFonts w:hint="default"/>
                <w:color w:val="000000"/>
                <w:sz w:val="18"/>
                <w:highlight w:val="none"/>
                <w:u w:val="single"/>
              </w:rPr>
              <w:t>2023年11月28日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投资冷静期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color w:val="000000"/>
                <w:sz w:val="18"/>
                <w:szCs w:val="22"/>
                <w:highlight w:val="none"/>
                <w:u w:val="single"/>
              </w:rPr>
            </w:pPr>
            <w:r>
              <w:rPr>
                <w:color w:val="000000"/>
                <w:sz w:val="18"/>
                <w:szCs w:val="22"/>
                <w:highlight w:val="none"/>
                <w:u w:val="single"/>
              </w:rPr>
              <w:t>认购期最后一天为冷静期</w:t>
            </w:r>
            <w:r>
              <w:rPr>
                <w:rFonts w:hint="eastAsia"/>
                <w:color w:val="000000"/>
                <w:sz w:val="18"/>
                <w:szCs w:val="22"/>
                <w:highlight w:val="none"/>
                <w:u w:val="single"/>
              </w:rPr>
              <w:t>，</w:t>
            </w:r>
            <w:r>
              <w:rPr>
                <w:color w:val="000000"/>
                <w:sz w:val="18"/>
                <w:szCs w:val="22"/>
                <w:highlight w:val="none"/>
                <w:u w:val="single"/>
              </w:rPr>
              <w:t>不可认购</w:t>
            </w:r>
            <w:r>
              <w:rPr>
                <w:rFonts w:hint="eastAsia"/>
                <w:color w:val="000000"/>
                <w:sz w:val="18"/>
                <w:szCs w:val="22"/>
                <w:highlight w:val="none"/>
                <w:u w:val="single"/>
              </w:rPr>
              <w:t>，</w:t>
            </w:r>
            <w:r>
              <w:rPr>
                <w:color w:val="000000"/>
                <w:sz w:val="18"/>
                <w:szCs w:val="22"/>
                <w:highlight w:val="none"/>
                <w:u w:val="single"/>
              </w:rPr>
              <w:t>可撤单</w:t>
            </w:r>
            <w:r>
              <w:rPr>
                <w:rFonts w:hint="eastAsia"/>
                <w:color w:val="000000"/>
                <w:sz w:val="18"/>
                <w:szCs w:val="22"/>
                <w:highlight w:val="none"/>
                <w:u w:val="single"/>
              </w:rPr>
              <w:t>。</w:t>
            </w:r>
            <w:r>
              <w:rPr>
                <w:color w:val="000000"/>
                <w:sz w:val="18"/>
                <w:szCs w:val="22"/>
                <w:highlight w:val="none"/>
                <w:u w:val="single"/>
              </w:rPr>
              <w:t>投资者在认购期首日</w:t>
            </w:r>
            <w:r>
              <w:rPr>
                <w:rFonts w:hint="eastAsia"/>
                <w:color w:val="000000"/>
                <w:sz w:val="18"/>
                <w:szCs w:val="22"/>
                <w:highlight w:val="none"/>
                <w:u w:val="single"/>
              </w:rPr>
              <w:t>9:0</w:t>
            </w:r>
            <w:r>
              <w:rPr>
                <w:color w:val="000000"/>
                <w:sz w:val="18"/>
                <w:szCs w:val="22"/>
                <w:highlight w:val="none"/>
                <w:u w:val="single"/>
              </w:rPr>
              <w:t>0至产品成立前一日</w:t>
            </w:r>
            <w:r>
              <w:rPr>
                <w:rFonts w:hint="eastAsia"/>
                <w:color w:val="000000"/>
                <w:sz w:val="18"/>
                <w:szCs w:val="22"/>
                <w:highlight w:val="none"/>
                <w:u w:val="single"/>
              </w:rPr>
              <w:t>1</w:t>
            </w:r>
            <w:r>
              <w:rPr>
                <w:color w:val="000000"/>
                <w:sz w:val="18"/>
                <w:szCs w:val="22"/>
                <w:highlight w:val="none"/>
                <w:u w:val="single"/>
              </w:rPr>
              <w:t>7</w:t>
            </w:r>
            <w:r>
              <w:rPr>
                <w:rFonts w:hint="eastAsia"/>
                <w:color w:val="000000"/>
                <w:sz w:val="18"/>
                <w:szCs w:val="22"/>
                <w:highlight w:val="none"/>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2023年11月29日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color w:val="000000"/>
                <w:sz w:val="18"/>
                <w:szCs w:val="24"/>
                <w:highlight w:val="none"/>
                <w:u w:val="single"/>
              </w:rPr>
            </w:pPr>
            <w:r>
              <w:rPr>
                <w:rFonts w:hint="default"/>
                <w:color w:val="000000"/>
                <w:sz w:val="18"/>
                <w:highlight w:val="none"/>
                <w:u w:val="single"/>
              </w:rPr>
              <w:t>2025年7月22日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default"/>
                <w:color w:val="000000"/>
                <w:sz w:val="18"/>
                <w:highlight w:val="none"/>
              </w:rPr>
              <w:t>3.75%</w:t>
            </w:r>
            <w:r>
              <w:rPr>
                <w:rFonts w:hint="eastAsia"/>
                <w:sz w:val="18"/>
                <w:szCs w:val="18"/>
                <w:highlight w:val="none"/>
              </w:rPr>
              <w:t>（年化）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ascii="Times New Roman" w:hAnsi="Times New Roman"/>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认购金额4</w:t>
            </w:r>
            <w:r>
              <w:rPr>
                <w:sz w:val="18"/>
                <w:szCs w:val="18"/>
                <w:highlight w:val="none"/>
              </w:rPr>
              <w:t>0</w:t>
            </w:r>
            <w:r>
              <w:rPr>
                <w:rFonts w:hint="eastAsia"/>
                <w:sz w:val="18"/>
                <w:szCs w:val="18"/>
                <w:highlight w:val="none"/>
              </w:rPr>
              <w:t>万元起，以</w:t>
            </w:r>
            <w:r>
              <w:rPr>
                <w:sz w:val="18"/>
                <w:szCs w:val="18"/>
                <w:highlight w:val="none"/>
              </w:rPr>
              <w:t>1</w:t>
            </w:r>
            <w:r>
              <w:rPr>
                <w:rFonts w:hint="eastAsia"/>
                <w:sz w:val="18"/>
                <w:szCs w:val="18"/>
                <w:highlight w:val="none"/>
              </w:rPr>
              <w:t>000元的整数倍追加；认购份额</w:t>
            </w:r>
            <w:r>
              <w:rPr>
                <w:sz w:val="18"/>
                <w:szCs w:val="18"/>
                <w:highlight w:val="none"/>
              </w:rPr>
              <w:t>=</w:t>
            </w:r>
            <w:r>
              <w:rPr>
                <w:rFonts w:hint="eastAsia"/>
                <w:sz w:val="18"/>
                <w:szCs w:val="18"/>
                <w:highlight w:val="none"/>
              </w:rPr>
              <w:t>认购金额</w:t>
            </w:r>
            <w:r>
              <w:rPr>
                <w:sz w:val="18"/>
                <w:szCs w:val="18"/>
                <w:highlight w:val="none"/>
              </w:rPr>
              <w:t>/1</w:t>
            </w:r>
            <w:r>
              <w:rPr>
                <w:rFonts w:hint="eastAsia"/>
                <w:sz w:val="18"/>
                <w:szCs w:val="18"/>
                <w:highlight w:val="none"/>
              </w:rPr>
              <w:t>元。认购份额保留至</w:t>
            </w:r>
            <w:r>
              <w:rPr>
                <w:sz w:val="18"/>
                <w:szCs w:val="18"/>
                <w:highlight w:val="none"/>
              </w:rPr>
              <w:t>0.01</w:t>
            </w:r>
            <w:r>
              <w:rPr>
                <w:rFonts w:hint="eastAsia"/>
                <w:sz w:val="18"/>
                <w:szCs w:val="18"/>
                <w:highlight w:val="none"/>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混合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rFonts w:hint="eastAsia"/>
          <w:sz w:val="18"/>
          <w:szCs w:val="18"/>
          <w:highlight w:val="none"/>
        </w:rPr>
      </w:pPr>
      <w:r>
        <w:rPr>
          <w:rFonts w:hint="eastAsia"/>
          <w:sz w:val="18"/>
          <w:szCs w:val="18"/>
          <w:highlight w:val="none"/>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20-80%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sz w:val="18"/>
                <w:szCs w:val="18"/>
                <w:highlight w:val="none"/>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其他符合监管要求的固定收益类资产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20-</w:t>
            </w:r>
            <w:r>
              <w:rPr>
                <w:rFonts w:ascii="宋体" w:hAnsi="宋体" w:cs="宋体"/>
                <w:color w:val="000000"/>
                <w:kern w:val="0"/>
                <w:sz w:val="18"/>
                <w:szCs w:val="18"/>
                <w:highlight w:val="none"/>
              </w:rPr>
              <w:t>3</w:t>
            </w:r>
            <w:r>
              <w:rPr>
                <w:rFonts w:hint="eastAsia" w:ascii="宋体" w:hAnsi="宋体" w:cs="宋体"/>
                <w:color w:val="000000"/>
                <w:kern w:val="0"/>
                <w:sz w:val="18"/>
                <w:szCs w:val="18"/>
                <w:highlight w:val="none"/>
              </w:rPr>
              <w:t>0%</w:t>
            </w:r>
          </w:p>
        </w:tc>
      </w:tr>
    </w:tbl>
    <w:p>
      <w:pPr>
        <w:adjustRightInd w:val="0"/>
        <w:snapToGrid w:val="0"/>
        <w:spacing w:line="286" w:lineRule="auto"/>
        <w:rPr>
          <w:rFonts w:hint="eastAsia"/>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highlight w:val="none"/>
        </w:rPr>
      </w:pPr>
      <w:r>
        <w:rPr>
          <w:rFonts w:hint="eastAsia"/>
          <w:sz w:val="18"/>
          <w:szCs w:val="18"/>
          <w:highlight w:val="none"/>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b/>
          <w:sz w:val="18"/>
          <w:szCs w:val="18"/>
          <w:highlight w:val="none"/>
        </w:rPr>
      </w:pPr>
      <w:r>
        <w:rPr>
          <w:rFonts w:hint="eastAsia"/>
          <w:sz w:val="18"/>
          <w:szCs w:val="18"/>
          <w:highlight w:val="none"/>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1" w:lineRule="auto"/>
        <w:rPr>
          <w:b/>
          <w:sz w:val="18"/>
          <w:szCs w:val="18"/>
          <w:highlight w:val="none"/>
        </w:rPr>
      </w:pPr>
      <w:r>
        <w:rPr>
          <w:rFonts w:hint="eastAsia"/>
          <w:b/>
          <w:sz w:val="18"/>
          <w:szCs w:val="18"/>
          <w:highlight w:val="none"/>
        </w:rPr>
        <w:t>合格投资者</w:t>
      </w:r>
    </w:p>
    <w:p>
      <w:pPr>
        <w:adjustRightInd w:val="0"/>
        <w:snapToGrid w:val="0"/>
        <w:spacing w:line="281" w:lineRule="auto"/>
        <w:rPr>
          <w:sz w:val="18"/>
          <w:szCs w:val="18"/>
          <w:highlight w:val="none"/>
        </w:rPr>
      </w:pPr>
      <w:r>
        <w:rPr>
          <w:rFonts w:hint="eastAsia"/>
          <w:sz w:val="18"/>
          <w:szCs w:val="18"/>
          <w:highlight w:val="none"/>
        </w:rPr>
        <w:t>本产品对应合格投资者指具备相应风险识别能力和风险承担能力，同时满足下列条件的：</w:t>
      </w:r>
    </w:p>
    <w:p>
      <w:pPr>
        <w:adjustRightInd w:val="0"/>
        <w:snapToGrid w:val="0"/>
        <w:spacing w:line="281" w:lineRule="auto"/>
        <w:rPr>
          <w:rFonts w:hint="eastAsia"/>
          <w:sz w:val="18"/>
          <w:szCs w:val="18"/>
          <w:highlight w:val="none"/>
        </w:rPr>
      </w:pPr>
      <w:r>
        <w:rPr>
          <w:rFonts w:hint="eastAsia"/>
          <w:sz w:val="18"/>
          <w:szCs w:val="18"/>
          <w:highlight w:val="none"/>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highlight w:val="none"/>
        </w:rPr>
      </w:pPr>
      <w:r>
        <w:rPr>
          <w:rFonts w:hint="eastAsia"/>
          <w:sz w:val="18"/>
          <w:szCs w:val="18"/>
          <w:highlight w:val="none"/>
        </w:rPr>
        <w:t>2、金融监督管理部门视为合格投资者的其他情形。</w:t>
      </w:r>
    </w:p>
    <w:p>
      <w:pPr>
        <w:adjustRightInd w:val="0"/>
        <w:snapToGrid w:val="0"/>
        <w:spacing w:line="281" w:lineRule="auto"/>
        <w:rPr>
          <w:sz w:val="18"/>
          <w:szCs w:val="18"/>
          <w:highlight w:val="none"/>
        </w:rPr>
      </w:pPr>
      <w:r>
        <w:rPr>
          <w:rFonts w:hint="eastAsia"/>
          <w:sz w:val="18"/>
          <w:szCs w:val="18"/>
          <w:highlight w:val="none"/>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本产品的托管人为宁波</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 xml:space="preserve">本理财产品估值日为每个证券交易所的交易日，至少每季度投资管理人和理财托管人核对估值结果并向投资人披露。（如遇非工作日顺延至下一工作日，具体日期以温州银行公告为准）。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ascii="Times New Roman" w:hAnsi="Times New Roman"/>
          <w:sz w:val="18"/>
          <w:szCs w:val="18"/>
          <w:highlight w:val="none"/>
        </w:rPr>
      </w:pPr>
      <w:r>
        <w:rPr>
          <w:rFonts w:hint="eastAsia"/>
          <w:sz w:val="18"/>
          <w:szCs w:val="18"/>
          <w:highlight w:val="none"/>
        </w:rPr>
        <w:t>【</w:t>
      </w:r>
      <w:r>
        <w:rPr>
          <w:rFonts w:hint="eastAsia" w:ascii="Times New Roman" w:hAnsi="Times New Roman"/>
          <w:sz w:val="18"/>
          <w:szCs w:val="18"/>
          <w:highlight w:val="none"/>
        </w:rPr>
        <w:t>暂停估值</w:t>
      </w:r>
      <w:r>
        <w:rPr>
          <w:rFonts w:hint="eastAsia"/>
          <w:sz w:val="18"/>
          <w:szCs w:val="18"/>
          <w:highlight w:val="none"/>
        </w:rPr>
        <w:t>】</w:t>
      </w:r>
    </w:p>
    <w:p>
      <w:pPr>
        <w:adjustRightInd w:val="0"/>
        <w:snapToGrid w:val="0"/>
        <w:spacing w:line="286" w:lineRule="auto"/>
        <w:rPr>
          <w:rFonts w:hint="eastAsia" w:ascii="Times New Roman" w:hAnsi="Times New Roman"/>
          <w:sz w:val="18"/>
          <w:szCs w:val="18"/>
          <w:highlight w:val="none"/>
        </w:rPr>
      </w:pPr>
      <w:r>
        <w:rPr>
          <w:rFonts w:hint="eastAsia" w:ascii="Times New Roman" w:hAnsi="Times New Roman"/>
          <w:sz w:val="18"/>
          <w:szCs w:val="18"/>
          <w:highlight w:val="none"/>
        </w:rPr>
        <w:t>理财产品投资所涉及的证券交易所遇法定节假日或其他原因暂停营业时，或因任何不可抗力致使无法准确评估资产价值时，或</w:t>
      </w:r>
      <w:r>
        <w:rPr>
          <w:rFonts w:hint="eastAsia"/>
          <w:sz w:val="18"/>
          <w:szCs w:val="18"/>
          <w:highlight w:val="none"/>
        </w:rPr>
        <w:t>存在中国银保监会认定的导致无法准确估值的其它情形时</w:t>
      </w:r>
      <w:r>
        <w:rPr>
          <w:rFonts w:hint="eastAsia" w:ascii="Times New Roman" w:hAnsi="Times New Roman"/>
          <w:sz w:val="18"/>
          <w:szCs w:val="18"/>
          <w:highlight w:val="none"/>
        </w:rPr>
        <w:t>，可暂停估值</w:t>
      </w:r>
      <w:r>
        <w:rPr>
          <w:rFonts w:hint="eastAsia"/>
          <w:sz w:val="18"/>
          <w:szCs w:val="18"/>
          <w:highlight w:val="none"/>
        </w:rPr>
        <w:t>，由此造成的损失，产品管理人和托管人不承担责任</w:t>
      </w:r>
      <w:r>
        <w:rPr>
          <w:rFonts w:hint="eastAsia" w:ascii="Times New Roman" w:hAnsi="Times New Roman"/>
          <w:sz w:val="18"/>
          <w:szCs w:val="18"/>
          <w:highlight w:val="none"/>
        </w:rPr>
        <w:t>。</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default"/>
          <w:color w:val="000000"/>
          <w:sz w:val="18"/>
          <w:highlight w:val="none"/>
        </w:rPr>
        <w:t>3.75%</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eastAsia"/>
          <w:color w:val="000000"/>
          <w:sz w:val="18"/>
          <w:szCs w:val="18"/>
          <w:highlight w:val="none"/>
        </w:rPr>
        <w:t>2023年11月22日</w:t>
      </w:r>
      <w:r>
        <w:rPr>
          <w:rFonts w:hint="eastAsia"/>
          <w:sz w:val="18"/>
          <w:szCs w:val="18"/>
          <w:highlight w:val="none"/>
        </w:rPr>
        <w:t>至</w:t>
      </w:r>
      <w:r>
        <w:rPr>
          <w:rFonts w:hint="default"/>
          <w:color w:val="000000"/>
          <w:sz w:val="18"/>
          <w:szCs w:val="18"/>
          <w:highlight w:val="none"/>
        </w:rPr>
        <w:t>2023年11月28日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color w:val="000000"/>
          <w:sz w:val="18"/>
          <w:highlight w:val="none"/>
        </w:rPr>
      </w:pPr>
      <w:r>
        <w:rPr>
          <w:rFonts w:hint="eastAsia"/>
          <w:sz w:val="18"/>
          <w:szCs w:val="18"/>
          <w:highlight w:val="none"/>
        </w:rPr>
        <w:t>本产品预计到期终止日为</w:t>
      </w:r>
      <w:r>
        <w:rPr>
          <w:rFonts w:hint="default"/>
          <w:color w:val="000000"/>
          <w:sz w:val="18"/>
          <w:highlight w:val="none"/>
        </w:rPr>
        <w:t>2025年7月22日</w:t>
      </w:r>
      <w:r>
        <w:rPr>
          <w:rFonts w:hint="eastAsia"/>
          <w:color w:val="000000"/>
          <w:sz w:val="18"/>
          <w:highlight w:val="none"/>
        </w:rPr>
        <w:t>，如发生下列情形之一的，温州银行有权但无义务终止理财计划：</w:t>
      </w:r>
    </w:p>
    <w:p>
      <w:pPr>
        <w:numPr>
          <w:ilvl w:val="0"/>
          <w:numId w:val="2"/>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color w:val="000000"/>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color w:val="000000"/>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rFonts w:hint="eastAsia"/>
          <w:sz w:val="18"/>
          <w:szCs w:val="18"/>
          <w:highlight w:val="none"/>
        </w:rPr>
      </w:pPr>
      <w:r>
        <w:rPr>
          <w:rFonts w:hint="eastAsia"/>
          <w:sz w:val="18"/>
          <w:szCs w:val="18"/>
          <w:highlight w:val="none"/>
        </w:rPr>
        <w:t>投资者理财收益＝认购份额×到期日（提前终止日）理财产品单位净值（扣除浮动管理费后）—认购金额。</w:t>
      </w:r>
    </w:p>
    <w:p>
      <w:pPr>
        <w:numPr>
          <w:ilvl w:val="0"/>
          <w:numId w:val="2"/>
        </w:numPr>
        <w:adjustRightInd w:val="0"/>
        <w:snapToGrid w:val="0"/>
        <w:spacing w:line="286" w:lineRule="auto"/>
        <w:ind w:left="0" w:leftChars="0" w:firstLine="0" w:firstLineChars="0"/>
        <w:rPr>
          <w:rFonts w:hint="eastAsia"/>
          <w:b/>
          <w:bCs/>
          <w:sz w:val="18"/>
          <w:szCs w:val="18"/>
          <w:highlight w:val="none"/>
        </w:rPr>
      </w:pPr>
      <w:r>
        <w:rPr>
          <w:rFonts w:hint="eastAsia"/>
          <w:b/>
          <w:bCs/>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1.07，此时，(1.07/1.00-1)×365/601=4.25%&gt;3.75%，即投资收益超越业绩比较基准，则投资管理人对超过业绩比较基准部分收益收取浮动管理费，浮动管理费为：1,000,000.00×[1.07-1.00×(1+3.75%×601/365)]×80%=6602.74（元）。扣除浮动管理费后，客户最终收益为：1,000,000.00×（1.07-1.00）-6602.74=63397.26（元），产品到期时，客户获得的实际收益相当于达到年化收益率水平为：63397.26/1,000,000.00×365/601=3.85%。</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1.06，此时，(1.06/1.00-1)×365/601=3.64%&lt;3.75%，即投资收益未达到业绩比较基准，则投资管理人不收取浮动管理费，客户最终收益为：1,000,000.00×(1.06-1.00）=60000.00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601天。假设产品业绩比较基准为3.75%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3"/>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3"/>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ascii="宋体" w:hAnsi="宋体"/>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highlight w:val="none"/>
        </w:rPr>
        <w:t>或证券市场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3"/>
        <w:adjustRightInd w:val="0"/>
        <w:snapToGrid w:val="0"/>
        <w:spacing w:line="286" w:lineRule="auto"/>
        <w:ind w:firstLine="0"/>
        <w:rPr>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b/>
          <w:bCs/>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（3）《温州银行“金鹿理财-臻享”</w:t>
      </w:r>
      <w:r>
        <w:rPr>
          <w:rFonts w:hint="default"/>
          <w:color w:val="000000"/>
          <w:sz w:val="18"/>
          <w:szCs w:val="18"/>
          <w:highlight w:val="none"/>
        </w:rPr>
        <w:t>23023</w:t>
      </w:r>
      <w:r>
        <w:rPr>
          <w:rFonts w:hint="eastAsia"/>
          <w:sz w:val="18"/>
          <w:szCs w:val="18"/>
          <w:highlight w:val="none"/>
        </w:rPr>
        <w:t>号银行理财计划风险揭示书》、《温州银行“金鹿理财”银行理财计划合约》和《温州银行理财产品投资者权益须知》等销售文件中的内容与本产品说明书不一致的，以本产品说明书约定的内容为准。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dit="readOnly" w:enforcement="1" w:cryptProviderType="rsaFull" w:cryptAlgorithmClass="hash" w:cryptAlgorithmType="typeAny" w:cryptAlgorithmSid="4" w:cryptSpinCount="0" w:hash="7fFmcJYRmfTOk1KAzWdKOoccvKU=" w:salt="2vJU7uOHwHIj3WwCvjNEBg=="/>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3DCD"/>
    <w:rsid w:val="000B5991"/>
    <w:rsid w:val="000D5A76"/>
    <w:rsid w:val="00331EA4"/>
    <w:rsid w:val="0058461F"/>
    <w:rsid w:val="00631B29"/>
    <w:rsid w:val="006A096F"/>
    <w:rsid w:val="0078088F"/>
    <w:rsid w:val="007A7805"/>
    <w:rsid w:val="008441F8"/>
    <w:rsid w:val="009115E2"/>
    <w:rsid w:val="00923B87"/>
    <w:rsid w:val="009D7D58"/>
    <w:rsid w:val="00A05C84"/>
    <w:rsid w:val="00B61087"/>
    <w:rsid w:val="00D71534"/>
    <w:rsid w:val="00E2610C"/>
    <w:rsid w:val="00F548A2"/>
    <w:rsid w:val="00F81FE4"/>
    <w:rsid w:val="00FE1D1B"/>
    <w:rsid w:val="00FF5DD6"/>
    <w:rsid w:val="020D5912"/>
    <w:rsid w:val="060F0B1F"/>
    <w:rsid w:val="06794E05"/>
    <w:rsid w:val="08EF38EC"/>
    <w:rsid w:val="09B16F1F"/>
    <w:rsid w:val="0AC90772"/>
    <w:rsid w:val="0CA66DB8"/>
    <w:rsid w:val="0DA90DFA"/>
    <w:rsid w:val="0E1D1495"/>
    <w:rsid w:val="0ED95908"/>
    <w:rsid w:val="14DB549B"/>
    <w:rsid w:val="190C6A15"/>
    <w:rsid w:val="1BB60D30"/>
    <w:rsid w:val="1DD91150"/>
    <w:rsid w:val="1FEFB915"/>
    <w:rsid w:val="20DB6550"/>
    <w:rsid w:val="22A04815"/>
    <w:rsid w:val="23535C37"/>
    <w:rsid w:val="26531D8B"/>
    <w:rsid w:val="26A745EE"/>
    <w:rsid w:val="275A751E"/>
    <w:rsid w:val="27697D3C"/>
    <w:rsid w:val="27EE5BCD"/>
    <w:rsid w:val="2AFF68BE"/>
    <w:rsid w:val="2D1D2B95"/>
    <w:rsid w:val="2D6F4CA6"/>
    <w:rsid w:val="2EB7637B"/>
    <w:rsid w:val="2F7E1AF7"/>
    <w:rsid w:val="2FE766C5"/>
    <w:rsid w:val="31025CB3"/>
    <w:rsid w:val="313A7139"/>
    <w:rsid w:val="31AC46DA"/>
    <w:rsid w:val="320C3990"/>
    <w:rsid w:val="34B74934"/>
    <w:rsid w:val="37B32A93"/>
    <w:rsid w:val="39766FF2"/>
    <w:rsid w:val="3B46D2A4"/>
    <w:rsid w:val="3C5374EE"/>
    <w:rsid w:val="3D1B017D"/>
    <w:rsid w:val="3F044FE7"/>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7A96882"/>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unhideWhenUsed/>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rPr>
      <w:rFonts w:ascii="Times New Roman" w:hAnsi="Times New Roman"/>
    </w:rPr>
  </w:style>
  <w:style w:type="paragraph" w:styleId="3">
    <w:name w:val="Plain Text"/>
    <w:basedOn w:val="1"/>
    <w:link w:val="9"/>
    <w:unhideWhenUsed/>
    <w:uiPriority w:val="99"/>
    <w:rPr>
      <w:rFonts w:ascii="宋体" w:hAnsi="Courier New" w:eastAsia="宋体" w:cs="Courier New"/>
      <w:szCs w:val="21"/>
    </w:rPr>
  </w:style>
  <w:style w:type="paragraph" w:styleId="4">
    <w:name w:val="footer"/>
    <w:basedOn w:val="1"/>
    <w:link w:val="10"/>
    <w:unhideWhenUsed/>
    <w:qFormat/>
    <w:uiPriority w:val="99"/>
    <w:pPr>
      <w:tabs>
        <w:tab w:val="center" w:pos="4153"/>
        <w:tab w:val="right" w:pos="8306"/>
      </w:tabs>
      <w:snapToGrid w:val="0"/>
      <w:jc w:val="left"/>
    </w:pPr>
    <w:rPr>
      <w:kern w:val="0"/>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customStyle="1" w:styleId="9">
    <w:name w:val="纯文本 字符"/>
    <w:link w:val="3"/>
    <w:uiPriority w:val="99"/>
    <w:rPr>
      <w:rFonts w:ascii="宋体" w:hAnsi="Courier New" w:eastAsia="宋体" w:cs="Courier New"/>
      <w:szCs w:val="21"/>
    </w:rPr>
  </w:style>
  <w:style w:type="character" w:customStyle="1" w:styleId="10">
    <w:name w:val="页脚 字符"/>
    <w:link w:val="4"/>
    <w:qFormat/>
    <w:uiPriority w:val="99"/>
    <w:rPr>
      <w:rFonts w:ascii="Calibri" w:hAnsi="Calibri" w:eastAsia="宋体" w:cs="Times New Roman"/>
      <w:kern w:val="0"/>
      <w:sz w:val="18"/>
      <w:szCs w:val="18"/>
    </w:rPr>
  </w:style>
  <w:style w:type="character" w:customStyle="1" w:styleId="11">
    <w:name w:val="页眉 字符"/>
    <w:link w:val="5"/>
    <w:uiPriority w:val="99"/>
    <w:rPr>
      <w:kern w:val="2"/>
      <w:sz w:val="18"/>
      <w:szCs w:val="18"/>
    </w:rPr>
  </w:style>
  <w:style w:type="paragraph" w:customStyle="1" w:styleId="12">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3">
    <w:name w:val="List Paragraph"/>
    <w:basedOn w:val="1"/>
    <w:qFormat/>
    <w:uiPriority w:val="34"/>
    <w:pPr>
      <w:widowControl/>
      <w:ind w:firstLine="420"/>
    </w:pPr>
    <w:rPr>
      <w:rFonts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1991</Words>
  <Characters>11350</Characters>
  <Lines>94</Lines>
  <Paragraphs>26</Paragraphs>
  <TotalTime>19</TotalTime>
  <ScaleCrop>false</ScaleCrop>
  <LinksUpToDate>false</LinksUpToDate>
  <CharactersWithSpaces>13315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dcterms:modified xsi:type="dcterms:W3CDTF">2023-11-17T10:31:35Z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