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第34期28天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34</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2023年11月23日至2023年11月29日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2023年12月21日</w:t>
            </w:r>
            <w:r>
              <w:rPr>
                <w:rFonts w:hint="eastAsia" w:ascii="宋体" w:hAnsi="宋体" w:eastAsia="宋体" w:cs="Times New Roman"/>
                <w:color w:val="000000"/>
                <w:kern w:val="0"/>
                <w:sz w:val="18"/>
                <w:szCs w:val="18"/>
                <w:u w:val="single"/>
                <w:lang w:val="en-US" w:eastAsia="zh-Hans" w:bidi="ar-SA"/>
              </w:rPr>
              <w:t>至2023年12月27日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“金鹿理财-普惠月享”4号开放式净值型银行理财计划风险揭示书》、《温州银行“金鹿理财-普惠月享”4号开放式净值型银行理财计划产品说明书》、《温州银行“金鹿理财-普惠月享”4号开放式净值型（第</w:t>
            </w:r>
            <w:r>
              <w:rPr>
                <w:rFonts w:hint="eastAsia" w:ascii="宋体" w:hAnsi="宋体" w:eastAsia="宋体"/>
                <w:color w:val="000000"/>
                <w:sz w:val="18"/>
                <w:szCs w:val="20"/>
                <w:lang w:val="en-US" w:eastAsia="zh-Hans"/>
              </w:rPr>
              <w:t>34</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A9q1ohjbekGVXvtD+bfOD7N1YN0=" w:salt="EV6Qit5HmAbxy2MOj3mL4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3551D04"/>
    <w:rsid w:val="7F7EC3B3"/>
    <w:rsid w:val="BBDDF786"/>
    <w:rsid w:val="E7EC35E9"/>
    <w:rsid w:val="EA37CEA5"/>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2023-11-17T09:27:22Z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