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温盈”19035号开放式净值型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19035号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3.3%-3.8%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2023年11月29日至2023年12月5日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2024年12月4日</w:t>
            </w:r>
            <w:r>
              <w:rPr>
                <w:rFonts w:hint="eastAsia" w:ascii="宋体" w:hAnsi="宋体" w:eastAsia="宋体" w:cs="Times New Roman"/>
                <w:color w:val="000000"/>
                <w:kern w:val="0"/>
                <w:sz w:val="18"/>
                <w:szCs w:val="18"/>
                <w:u w:val="single"/>
                <w:lang w:val="en-US" w:eastAsia="zh-Hans" w:bidi="ar-SA"/>
              </w:rPr>
              <w:t>至2024年12月10日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2024年12月11日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“金鹿理财-温盈”19035号开放式净值型银行理财计划风险揭示书》、《温州银行“金鹿理财-温盈”19035号开放式净值型银行理财计划产品说明书》、《温州银行“金鹿理财-温盈”19035号开放式净值型（第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HLAYFKgmBM06jqCkiAKshZdLMZs=" w:salt="PN1YqcaLuBXpRwPVvF7Eo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E7B58B0"/>
    <w:rsid w:val="511E88BC"/>
    <w:rsid w:val="7F7EC3B3"/>
    <w:rsid w:val="BBDDF786"/>
    <w:rsid w:val="DDF9C7D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2023-11-24T03:50:02Z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